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AGRÉGÉS</w:t>
            </w: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2024-2025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chaque dossier complet doit comprendre les pièces suivantes : les annexes 1 et 2 + une lettre de motivation dactylographiée + la photocopie des tit</w:t>
      </w:r>
      <w:r w:rsidRPr="00016CA1">
        <w:rPr>
          <w:rFonts w:ascii="Verdana" w:hAnsi="Verdana"/>
          <w:sz w:val="18"/>
          <w:szCs w:val="18"/>
        </w:rPr>
        <w:t>res ou diplômes universitaires.</w:t>
      </w:r>
    </w:p>
    <w:p w:rsidR="00016CA1" w:rsidRPr="0056149F" w:rsidRDefault="00016CA1" w:rsidP="00016CA1">
      <w:pPr>
        <w:pStyle w:val="Normal-Espaceau-dessus"/>
        <w:jc w:val="both"/>
        <w:rPr>
          <w:rFonts w:ascii="Verdana" w:hAnsi="Verdana"/>
          <w:b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</w:rPr>
        <w:t>Chaque établissement renverra une annexe 3 par liste d’aptitude. Sur chacune d’entre elles seront i</w:t>
      </w:r>
      <w:r w:rsidRPr="0056149F">
        <w:rPr>
          <w:rFonts w:ascii="Verdana" w:hAnsi="Verdana"/>
          <w:b/>
          <w:sz w:val="18"/>
          <w:szCs w:val="18"/>
        </w:rPr>
        <w:t>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 xml:space="preserve">TOUT DOSSIER HORS DÉLAIS ET/OU INCOMPLET NE </w:t>
      </w:r>
      <w:r w:rsidRPr="0056149F">
        <w:rPr>
          <w:rFonts w:ascii="Verdana" w:hAnsi="Verdana"/>
          <w:b/>
          <w:color w:val="000000" w:themeColor="text1"/>
          <w:sz w:val="18"/>
          <w:szCs w:val="18"/>
        </w:rPr>
        <w:t>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ACCUSÉ DE RÉCEPTION : L.A. AGRÉGÉS 2024-2025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ACCUSÉ DE RÉCEPTION : L.A. AGRÉGÉS 2024-2025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vendredi 12 janvier 2024, cachet de la poste faisant foi</w:t>
      </w:r>
      <w:bookmarkStart w:id="0" w:name="_GoBack"/>
      <w:bookmarkEnd w:id="0"/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des établissements privés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B1F33"/>
    <w:rsid w:val="009B3A0E"/>
    <w:rsid w:val="009B6CF4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271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office/infopath/2007/PartnerControls"/>
    <ds:schemaRef ds:uri="6dc4bcd6-49db-4c07-9060-8acfc67cef9f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2023-11-23T10:32:00Z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