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16718" w14:textId="7C8192D4" w:rsidR="00680899" w:rsidRDefault="007C4A28" w:rsidP="009377B8">
      <w:pPr>
        <w:rPr>
          <w:rFonts w:ascii="Marianne" w:hAnsi="Marianne"/>
          <w:b/>
          <w:bCs/>
          <w:color w:val="0070C0"/>
          <w:sz w:val="40"/>
          <w:szCs w:val="40"/>
        </w:rPr>
      </w:pPr>
      <w:r w:rsidRPr="007C4A28">
        <w:rPr>
          <w:rFonts w:ascii="Marianne" w:hAnsi="Marianne"/>
          <w:b/>
          <w:bCs/>
          <w:noProof/>
          <w:color w:val="0070C0"/>
          <w:sz w:val="40"/>
          <w:szCs w:val="40"/>
          <w:lang w:eastAsia="fr-FR"/>
        </w:rPr>
        <mc:AlternateContent>
          <mc:Choice Requires="wps">
            <w:drawing>
              <wp:anchor distT="45720" distB="45720" distL="114300" distR="114300" simplePos="0" relativeHeight="251660288" behindDoc="0" locked="0" layoutInCell="1" allowOverlap="1" wp14:anchorId="11EACF5F" wp14:editId="6532918A">
                <wp:simplePos x="0" y="0"/>
                <wp:positionH relativeFrom="column">
                  <wp:posOffset>3967480</wp:posOffset>
                </wp:positionH>
                <wp:positionV relativeFrom="paragraph">
                  <wp:posOffset>-556895</wp:posOffset>
                </wp:positionV>
                <wp:extent cx="236093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356E50" w14:textId="385C5348" w:rsidR="007C4A28" w:rsidRPr="007C4A28" w:rsidRDefault="007C4A28" w:rsidP="007C4A28">
                            <w:pPr>
                              <w:spacing w:after="0"/>
                              <w:jc w:val="right"/>
                              <w:rPr>
                                <w:b/>
                                <w:bCs/>
                                <w:color w:val="002060"/>
                                <w:sz w:val="24"/>
                                <w:szCs w:val="24"/>
                              </w:rPr>
                            </w:pPr>
                            <w:r w:rsidRPr="007C4A28">
                              <w:rPr>
                                <w:b/>
                                <w:bCs/>
                                <w:color w:val="002060"/>
                                <w:sz w:val="24"/>
                                <w:szCs w:val="24"/>
                              </w:rPr>
                              <w:t>DRAIO</w:t>
                            </w:r>
                          </w:p>
                          <w:p w14:paraId="496C6514" w14:textId="730667A7" w:rsidR="007C4A28" w:rsidRDefault="007C4A28" w:rsidP="007C4A28">
                            <w:pPr>
                              <w:spacing w:after="0"/>
                              <w:jc w:val="right"/>
                            </w:pPr>
                            <w:r w:rsidRPr="007C4A28">
                              <w:rPr>
                                <w:b/>
                                <w:bCs/>
                              </w:rPr>
                              <w:t>D</w:t>
                            </w:r>
                            <w:r>
                              <w:t xml:space="preserve">élégation de </w:t>
                            </w:r>
                            <w:r w:rsidRPr="007C4A28">
                              <w:rPr>
                                <w:b/>
                                <w:bCs/>
                              </w:rPr>
                              <w:t>R</w:t>
                            </w:r>
                            <w:r>
                              <w:t xml:space="preserve">égion </w:t>
                            </w:r>
                            <w:r w:rsidRPr="007C4A28">
                              <w:rPr>
                                <w:b/>
                                <w:bCs/>
                              </w:rPr>
                              <w:t>A</w:t>
                            </w:r>
                            <w:r>
                              <w:t>cadémique à l’</w:t>
                            </w:r>
                            <w:r w:rsidRPr="007C4A28">
                              <w:rPr>
                                <w:b/>
                                <w:bCs/>
                              </w:rPr>
                              <w:t>I</w:t>
                            </w:r>
                            <w:r>
                              <w:t>nformation et l</w:t>
                            </w:r>
                            <w:r w:rsidRPr="007C4A28">
                              <w:rPr>
                                <w:b/>
                                <w:bCs/>
                              </w:rPr>
                              <w:t>’O</w:t>
                            </w:r>
                            <w:r>
                              <w:t>rientation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type w14:anchorId="11EACF5F" id="_x0000_t202" coordsize="21600,21600" o:spt="202" path="m,l,21600r21600,l21600,xe">
                <v:stroke joinstyle="miter"/>
                <v:path gradientshapeok="t" o:connecttype="rect"/>
              </v:shapetype>
              <v:shape id="Zone de texte 2" o:spid="_x0000_s1026" type="#_x0000_t202" style="position:absolute;margin-left:312.4pt;margin-top:-43.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" stroked="f">
                <v:textbox style="mso-fit-shape-to-text:t">
                  <w:txbxContent>
                    <w:p w14:paraId="4C356E50" w14:textId="385C5348" w:rsidR="007C4A28" w:rsidRPr="007C4A28" w:rsidRDefault="007C4A28" w:rsidP="007C4A28">
                      <w:pPr>
                        <w:spacing w:after="0"/>
                        <w:jc w:val="right"/>
                        <w:rPr>
                          <w:b/>
                          <w:bCs/>
                          <w:color w:val="002060"/>
                          <w:sz w:val="24"/>
                          <w:szCs w:val="24"/>
                        </w:rPr>
                      </w:pPr>
                      <w:r w:rsidRPr="007C4A28">
                        <w:rPr>
                          <w:b/>
                          <w:bCs/>
                          <w:color w:val="002060"/>
                          <w:sz w:val="24"/>
                          <w:szCs w:val="24"/>
                        </w:rPr>
                        <w:t>DRAIO</w:t>
                      </w:r>
                    </w:p>
                    <w:p w14:paraId="496C6514" w14:textId="730667A7" w:rsidR="007C4A28" w:rsidRDefault="007C4A28" w:rsidP="007C4A28">
                      <w:pPr>
                        <w:spacing w:after="0"/>
                        <w:jc w:val="right"/>
                      </w:pPr>
                      <w:r w:rsidRPr="007C4A28">
                        <w:rPr>
                          <w:b/>
                          <w:bCs/>
                        </w:rPr>
                        <w:t>D</w:t>
                      </w:r>
                      <w:r>
                        <w:t xml:space="preserve">élégation de </w:t>
                      </w:r>
                      <w:r w:rsidRPr="007C4A28">
                        <w:rPr>
                          <w:b/>
                          <w:bCs/>
                        </w:rPr>
                        <w:t>R</w:t>
                      </w:r>
                      <w:r>
                        <w:t xml:space="preserve">égion </w:t>
                      </w:r>
                      <w:r w:rsidRPr="007C4A28">
                        <w:rPr>
                          <w:b/>
                          <w:bCs/>
                        </w:rPr>
                        <w:t>A</w:t>
                      </w:r>
                      <w:r>
                        <w:t>cadémique à l’</w:t>
                      </w:r>
                      <w:r w:rsidRPr="007C4A28">
                        <w:rPr>
                          <w:b/>
                          <w:bCs/>
                        </w:rPr>
                        <w:t>I</w:t>
                      </w:r>
                      <w:r>
                        <w:t>nformation et l</w:t>
                      </w:r>
                      <w:r w:rsidRPr="007C4A28">
                        <w:rPr>
                          <w:b/>
                          <w:bCs/>
                        </w:rPr>
                        <w:t>’O</w:t>
                      </w:r>
                      <w:r>
                        <w:t>rientation</w:t>
                      </w:r>
                    </w:p>
                  </w:txbxContent>
                </v:textbox>
              </v:shape>
            </w:pict>
          </mc:Fallback>
        </mc:AlternateContent>
      </w:r>
      <w:r w:rsidR="009377B8">
        <w:rPr>
          <w:rFonts w:ascii="Marianne" w:hAnsi="Marianne"/>
          <w:b/>
          <w:bCs/>
          <w:noProof/>
          <w:color w:val="0070C0"/>
          <w:sz w:val="40"/>
          <w:szCs w:val="40"/>
          <w:lang w:eastAsia="fr-FR"/>
        </w:rPr>
        <w:drawing>
          <wp:anchor distT="0" distB="0" distL="114300" distR="114300" simplePos="0" relativeHeight="251658240" behindDoc="0" locked="0" layoutInCell="1" allowOverlap="1" wp14:anchorId="19B85DDA" wp14:editId="2DA7F341">
            <wp:simplePos x="0" y="0"/>
            <wp:positionH relativeFrom="column">
              <wp:posOffset>-483336</wp:posOffset>
            </wp:positionH>
            <wp:positionV relativeFrom="paragraph">
              <wp:posOffset>-646298</wp:posOffset>
            </wp:positionV>
            <wp:extent cx="1608149" cy="1032095"/>
            <wp:effectExtent l="0" t="0" r="0" b="0"/>
            <wp:wrapNone/>
            <wp:docPr id="4" name="Image 4" descr="Une image contenant texte, Police, capture d’écran, Graphiq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apture d’écran, Graphiqu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2981" cy="1041614"/>
                    </a:xfrm>
                    <a:prstGeom prst="rect">
                      <a:avLst/>
                    </a:prstGeom>
                  </pic:spPr>
                </pic:pic>
              </a:graphicData>
            </a:graphic>
            <wp14:sizeRelH relativeFrom="margin">
              <wp14:pctWidth>0</wp14:pctWidth>
            </wp14:sizeRelH>
            <wp14:sizeRelV relativeFrom="margin">
              <wp14:pctHeight>0</wp14:pctHeight>
            </wp14:sizeRelV>
          </wp:anchor>
        </w:drawing>
      </w:r>
    </w:p>
    <w:p w14:paraId="789F8F41" w14:textId="5A924DC9" w:rsidR="009377B8" w:rsidRPr="00B9783C" w:rsidRDefault="00B945C0" w:rsidP="00B9783C">
      <w:pPr>
        <w:spacing w:after="0" w:line="240" w:lineRule="auto"/>
        <w:jc w:val="center"/>
        <w:rPr>
          <w:rFonts w:ascii="Marianne" w:hAnsi="Marianne"/>
          <w:b/>
          <w:bCs/>
          <w:color w:val="0070C0"/>
          <w:sz w:val="60"/>
          <w:szCs w:val="60"/>
        </w:rPr>
      </w:pPr>
      <w:r>
        <w:rPr>
          <w:rFonts w:ascii="Marianne" w:hAnsi="Marianne"/>
          <w:b/>
          <w:bCs/>
          <w:color w:val="0070C0"/>
          <w:sz w:val="60"/>
          <w:szCs w:val="60"/>
        </w:rPr>
        <w:t>Le numérique, un levier pour</w:t>
      </w:r>
      <w:r w:rsidR="00B9783C">
        <w:rPr>
          <w:rFonts w:ascii="Marianne" w:hAnsi="Marianne"/>
          <w:b/>
          <w:bCs/>
          <w:color w:val="0070C0"/>
          <w:sz w:val="60"/>
          <w:szCs w:val="60"/>
        </w:rPr>
        <w:t xml:space="preserve">      </w:t>
      </w:r>
      <w:r>
        <w:rPr>
          <w:rFonts w:ascii="Marianne" w:hAnsi="Marianne"/>
          <w:b/>
          <w:bCs/>
          <w:color w:val="0070C0"/>
          <w:sz w:val="60"/>
          <w:szCs w:val="60"/>
        </w:rPr>
        <w:t xml:space="preserve">la </w:t>
      </w:r>
      <w:r w:rsidR="009377B8" w:rsidRPr="009377B8">
        <w:rPr>
          <w:rFonts w:ascii="Marianne" w:hAnsi="Marianne"/>
          <w:b/>
          <w:bCs/>
          <w:color w:val="0070C0"/>
          <w:sz w:val="60"/>
          <w:szCs w:val="60"/>
        </w:rPr>
        <w:t>persévérance</w:t>
      </w:r>
      <w:r>
        <w:rPr>
          <w:rFonts w:ascii="Calibri" w:hAnsi="Calibri" w:cs="Calibri"/>
          <w:b/>
          <w:bCs/>
          <w:color w:val="0070C0"/>
          <w:sz w:val="60"/>
          <w:szCs w:val="60"/>
        </w:rPr>
        <w:t> </w:t>
      </w:r>
      <w:r w:rsidR="005E2692" w:rsidRPr="00B9783C">
        <w:rPr>
          <w:rFonts w:ascii="Marianne" w:hAnsi="Marianne" w:cs="Calibri"/>
          <w:b/>
          <w:bCs/>
          <w:color w:val="0070C0"/>
          <w:sz w:val="60"/>
          <w:szCs w:val="60"/>
        </w:rPr>
        <w:t>scolaire</w:t>
      </w:r>
      <w:r w:rsidR="00B9783C">
        <w:rPr>
          <w:rFonts w:ascii="Marianne" w:hAnsi="Marianne" w:cs="Calibri"/>
          <w:b/>
          <w:bCs/>
          <w:color w:val="0070C0"/>
          <w:sz w:val="60"/>
          <w:szCs w:val="60"/>
        </w:rPr>
        <w:t xml:space="preserve"> </w:t>
      </w:r>
      <w:r w:rsidRPr="00B9783C">
        <w:rPr>
          <w:rFonts w:ascii="Marianne" w:hAnsi="Marianne"/>
          <w:b/>
          <w:bCs/>
          <w:color w:val="0070C0"/>
          <w:sz w:val="60"/>
          <w:szCs w:val="60"/>
        </w:rPr>
        <w:t>?</w:t>
      </w:r>
    </w:p>
    <w:p w14:paraId="3FB026D7" w14:textId="31BE4F70" w:rsidR="00AE6640" w:rsidRPr="00AE6640" w:rsidRDefault="00B945C0" w:rsidP="00AE6640">
      <w:pPr>
        <w:jc w:val="center"/>
        <w:rPr>
          <w:rFonts w:ascii="Calibri" w:hAnsi="Calibri" w:cs="Calibri"/>
          <w:b/>
          <w:bCs/>
          <w:color w:val="0070C0"/>
          <w:sz w:val="40"/>
          <w:szCs w:val="40"/>
        </w:rPr>
      </w:pPr>
      <w:r>
        <w:rPr>
          <w:rFonts w:ascii="Marianne" w:hAnsi="Marianne"/>
          <w:b/>
          <w:bCs/>
          <w:color w:val="0070C0"/>
          <w:sz w:val="40"/>
          <w:szCs w:val="40"/>
        </w:rPr>
        <w:t>1er</w:t>
      </w:r>
      <w:r w:rsidR="009377B8" w:rsidRPr="009377B8">
        <w:rPr>
          <w:rFonts w:ascii="Marianne" w:hAnsi="Marianne"/>
          <w:b/>
          <w:bCs/>
          <w:color w:val="0070C0"/>
          <w:sz w:val="40"/>
          <w:szCs w:val="40"/>
        </w:rPr>
        <w:t xml:space="preserve"> avril 202</w:t>
      </w:r>
      <w:r>
        <w:rPr>
          <w:rFonts w:ascii="Marianne" w:hAnsi="Marianne"/>
          <w:b/>
          <w:bCs/>
          <w:color w:val="0070C0"/>
          <w:sz w:val="40"/>
          <w:szCs w:val="40"/>
        </w:rPr>
        <w:t>6</w:t>
      </w:r>
      <w:r w:rsidR="009377B8" w:rsidRPr="009377B8">
        <w:rPr>
          <w:rFonts w:ascii="Calibri" w:hAnsi="Calibri" w:cs="Calibri"/>
          <w:b/>
          <w:bCs/>
          <w:color w:val="0070C0"/>
          <w:sz w:val="40"/>
          <w:szCs w:val="40"/>
        </w:rPr>
        <w:t> </w:t>
      </w:r>
      <w:r w:rsidR="00AC4E7B">
        <w:rPr>
          <w:rFonts w:ascii="Calibri" w:hAnsi="Calibri" w:cs="Calibri"/>
          <w:b/>
          <w:bCs/>
          <w:color w:val="0070C0"/>
          <w:sz w:val="40"/>
          <w:szCs w:val="40"/>
        </w:rPr>
        <w:t>-</w:t>
      </w:r>
      <w:r w:rsidR="00EC6A4F">
        <w:rPr>
          <w:rFonts w:ascii="Calibri" w:hAnsi="Calibri" w:cs="Calibri"/>
          <w:b/>
          <w:bCs/>
          <w:color w:val="0070C0"/>
          <w:sz w:val="40"/>
          <w:szCs w:val="40"/>
        </w:rPr>
        <w:t xml:space="preserve"> 13h</w:t>
      </w:r>
      <w:r w:rsidR="00AC4E7B">
        <w:rPr>
          <w:rFonts w:ascii="Calibri" w:hAnsi="Calibri" w:cs="Calibri"/>
          <w:b/>
          <w:bCs/>
          <w:color w:val="0070C0"/>
          <w:sz w:val="40"/>
          <w:szCs w:val="40"/>
        </w:rPr>
        <w:t xml:space="preserve">30 </w:t>
      </w:r>
    </w:p>
    <w:p w14:paraId="20940FF5" w14:textId="47EB5EA5" w:rsidR="00AE6640" w:rsidRDefault="00AE6640" w:rsidP="004C20FC">
      <w:pPr>
        <w:jc w:val="center"/>
        <w:rPr>
          <w:rFonts w:ascii="Calibri" w:hAnsi="Calibri" w:cs="Calibri"/>
          <w:b/>
          <w:bCs/>
          <w:color w:val="0070C0"/>
          <w:sz w:val="40"/>
          <w:szCs w:val="40"/>
        </w:rPr>
      </w:pPr>
      <w:r w:rsidRPr="00AE6640">
        <w:rPr>
          <w:rFonts w:ascii="Calibri" w:hAnsi="Calibri" w:cs="Calibri"/>
          <w:b/>
          <w:bCs/>
          <w:noProof/>
          <w:color w:val="0070C0"/>
          <w:sz w:val="40"/>
          <w:szCs w:val="40"/>
          <w:lang w:eastAsia="fr-FR"/>
        </w:rPr>
        <w:drawing>
          <wp:inline distT="0" distB="0" distL="0" distR="0" wp14:anchorId="2B9ACB9D" wp14:editId="427E674F">
            <wp:extent cx="5029457" cy="3352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5435" cy="3390117"/>
                    </a:xfrm>
                    <a:prstGeom prst="rect">
                      <a:avLst/>
                    </a:prstGeom>
                    <a:noFill/>
                    <a:ln>
                      <a:noFill/>
                    </a:ln>
                  </pic:spPr>
                </pic:pic>
              </a:graphicData>
            </a:graphic>
          </wp:inline>
        </w:drawing>
      </w:r>
    </w:p>
    <w:p w14:paraId="063189D9" w14:textId="759DFC1B" w:rsidR="009377B8" w:rsidRPr="009377B8" w:rsidRDefault="00AE6640" w:rsidP="00AE6640">
      <w:pPr>
        <w:rPr>
          <w:rFonts w:ascii="Marianne" w:hAnsi="Marianne"/>
          <w:b/>
          <w:bCs/>
          <w:color w:val="0070C0"/>
          <w:sz w:val="40"/>
          <w:szCs w:val="40"/>
        </w:rPr>
      </w:pPr>
      <w:r>
        <w:rPr>
          <w:rFonts w:ascii="Calibri" w:hAnsi="Calibri" w:cs="Calibri"/>
          <w:b/>
          <w:bCs/>
          <w:color w:val="0070C0"/>
          <w:sz w:val="40"/>
          <w:szCs w:val="40"/>
        </w:rPr>
        <w:t xml:space="preserve">                                  </w:t>
      </w:r>
      <w:r w:rsidR="00AC4E7B">
        <w:rPr>
          <w:rFonts w:ascii="Calibri" w:hAnsi="Calibri" w:cs="Calibri"/>
          <w:b/>
          <w:bCs/>
          <w:color w:val="0070C0"/>
          <w:sz w:val="40"/>
          <w:szCs w:val="40"/>
        </w:rPr>
        <w:t xml:space="preserve"> </w:t>
      </w:r>
      <w:r w:rsidR="00AC4E7B" w:rsidRPr="009377B8">
        <w:rPr>
          <w:rFonts w:ascii="Marianne" w:hAnsi="Marianne"/>
          <w:b/>
          <w:bCs/>
          <w:color w:val="0070C0"/>
          <w:sz w:val="40"/>
          <w:szCs w:val="40"/>
        </w:rPr>
        <w:t>Séminaire</w:t>
      </w:r>
      <w:r w:rsidR="009377B8" w:rsidRPr="009377B8">
        <w:rPr>
          <w:rFonts w:ascii="Marianne" w:hAnsi="Marianne"/>
          <w:b/>
          <w:bCs/>
          <w:color w:val="0070C0"/>
          <w:sz w:val="40"/>
          <w:szCs w:val="40"/>
        </w:rPr>
        <w:t xml:space="preserve"> en ligne</w:t>
      </w:r>
    </w:p>
    <w:p w14:paraId="55865D3A" w14:textId="40202E95" w:rsidR="009377B8" w:rsidRDefault="009377B8" w:rsidP="00680899">
      <w:pPr>
        <w:rPr>
          <w:rFonts w:ascii="Marianne" w:hAnsi="Marianne"/>
        </w:rPr>
      </w:pPr>
      <w:r w:rsidRPr="00FD2C61">
        <w:rPr>
          <w:rFonts w:ascii="Marianne" w:hAnsi="Marianne"/>
        </w:rPr>
        <w:lastRenderedPageBreak/>
        <w:t>(</w:t>
      </w:r>
      <w:r w:rsidR="00FD2C61" w:rsidRPr="00FD2C61">
        <w:rPr>
          <w:rFonts w:ascii="Marianne" w:hAnsi="Marianne"/>
        </w:rPr>
        <w:t>Personnels</w:t>
      </w:r>
      <w:r w:rsidRPr="00FD2C61">
        <w:rPr>
          <w:rFonts w:ascii="Marianne" w:hAnsi="Marianne"/>
        </w:rPr>
        <w:t xml:space="preserve"> enseignants, d’éducation, d’encadrement, psychologues, médico-sociaux…)</w:t>
      </w:r>
    </w:p>
    <w:p w14:paraId="2F8D164A" w14:textId="77777777" w:rsidR="00AE6640" w:rsidRDefault="00AE6640" w:rsidP="00680899">
      <w:pPr>
        <w:rPr>
          <w:rFonts w:ascii="Marianne" w:hAnsi="Marianne"/>
        </w:rPr>
      </w:pPr>
    </w:p>
    <w:p w14:paraId="689D0648" w14:textId="673917B1" w:rsidR="004C20FC" w:rsidRPr="001E4F8D" w:rsidRDefault="004C20FC" w:rsidP="00AE6640">
      <w:pPr>
        <w:jc w:val="center"/>
        <w:rPr>
          <w:b/>
          <w:bCs/>
        </w:rPr>
      </w:pPr>
      <w:r w:rsidRPr="001E4F8D">
        <w:rPr>
          <w:rFonts w:ascii="Marianne" w:hAnsi="Marianne"/>
          <w:b/>
          <w:bCs/>
        </w:rPr>
        <w:t>Lien de connexion</w:t>
      </w:r>
      <w:r w:rsidRPr="001E4F8D">
        <w:rPr>
          <w:rFonts w:ascii="Calibri" w:hAnsi="Calibri" w:cs="Calibri"/>
          <w:b/>
          <w:bCs/>
        </w:rPr>
        <w:t> </w:t>
      </w:r>
      <w:r w:rsidRPr="001E4F8D">
        <w:rPr>
          <w:rFonts w:ascii="Marianne" w:hAnsi="Marianne"/>
          <w:b/>
          <w:bCs/>
        </w:rPr>
        <w:t>:</w:t>
      </w:r>
    </w:p>
    <w:p w14:paraId="6DFBD665" w14:textId="16E26D13" w:rsidR="00AE6640" w:rsidRPr="00AE6640" w:rsidRDefault="003B7A98" w:rsidP="00AE6640">
      <w:pPr>
        <w:jc w:val="center"/>
        <w:rPr>
          <w:b/>
          <w:bCs/>
          <w:color w:val="0563C1"/>
          <w:sz w:val="36"/>
          <w:szCs w:val="36"/>
          <w:u w:val="single"/>
        </w:rPr>
      </w:pPr>
      <w:hyperlink r:id="rId7" w:history="1">
        <w:r w:rsidR="00B945C0" w:rsidRPr="00B945C0">
          <w:rPr>
            <w:rStyle w:val="Lienhypertexte"/>
            <w:b/>
            <w:bCs/>
            <w:sz w:val="36"/>
            <w:szCs w:val="36"/>
          </w:rPr>
          <w:t>https://videodiff.phm.education.gouv.fr/live/c7553570317c</w:t>
        </w:r>
      </w:hyperlink>
    </w:p>
    <w:p w14:paraId="622D88E5" w14:textId="272272BB" w:rsidR="00B945C0" w:rsidRDefault="00AE6640" w:rsidP="00B945C0">
      <w:pPr>
        <w:jc w:val="center"/>
        <w:rPr>
          <w:b/>
          <w:bCs/>
          <w:sz w:val="36"/>
          <w:szCs w:val="36"/>
        </w:rPr>
      </w:pPr>
      <w:r w:rsidRPr="00B945C0">
        <w:rPr>
          <w:rFonts w:ascii="Aptos" w:eastAsia="Aptos" w:hAnsi="Aptos" w:cs="Times New Roman"/>
          <w:noProof/>
          <w:kern w:val="2"/>
          <w:lang w:eastAsia="fr-FR"/>
          <w14:ligatures w14:val="standardContextual"/>
        </w:rPr>
        <w:drawing>
          <wp:inline distT="0" distB="0" distL="0" distR="0" wp14:anchorId="6F9839BC" wp14:editId="508DB1AA">
            <wp:extent cx="1385887" cy="145732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901" cy="1476268"/>
                    </a:xfrm>
                    <a:prstGeom prst="rect">
                      <a:avLst/>
                    </a:prstGeom>
                    <a:noFill/>
                  </pic:spPr>
                </pic:pic>
              </a:graphicData>
            </a:graphic>
          </wp:inline>
        </w:drawing>
      </w:r>
    </w:p>
    <w:p w14:paraId="59BA3B1C" w14:textId="45F61AE4" w:rsidR="00B945C0" w:rsidRPr="00B945C0" w:rsidRDefault="00B945C0" w:rsidP="00C4069C">
      <w:pPr>
        <w:rPr>
          <w:b/>
          <w:bCs/>
          <w:sz w:val="36"/>
          <w:szCs w:val="36"/>
        </w:rPr>
      </w:pPr>
    </w:p>
    <w:p w14:paraId="381A6A50" w14:textId="77777777" w:rsidR="00B945C0" w:rsidRPr="004C20FC" w:rsidRDefault="00B945C0" w:rsidP="004C20FC">
      <w:pPr>
        <w:jc w:val="center"/>
        <w:rPr>
          <w:rFonts w:ascii="Marianne" w:hAnsi="Marianne"/>
          <w:b/>
          <w:bCs/>
          <w:color w:val="0070C0"/>
          <w:sz w:val="28"/>
          <w:szCs w:val="28"/>
          <w:u w:val="single"/>
        </w:rPr>
      </w:pPr>
    </w:p>
    <w:p w14:paraId="7E5DFA30" w14:textId="49E24C7F" w:rsidR="00B945C0" w:rsidRPr="00B945C0" w:rsidRDefault="00B945C0" w:rsidP="00B945C0">
      <w:pPr>
        <w:jc w:val="center"/>
        <w:rPr>
          <w:rFonts w:ascii="Marianne" w:hAnsi="Marianne"/>
          <w:b/>
          <w:bCs/>
        </w:rPr>
      </w:pPr>
      <w:r>
        <w:rPr>
          <w:rFonts w:ascii="Marianne" w:hAnsi="Marianne"/>
          <w:b/>
          <w:bCs/>
          <w:color w:val="0070C0"/>
          <w:sz w:val="40"/>
          <w:szCs w:val="40"/>
        </w:rPr>
        <w:t>S</w:t>
      </w:r>
      <w:r w:rsidRPr="00E20538">
        <w:rPr>
          <w:rFonts w:ascii="Marianne" w:hAnsi="Marianne"/>
          <w:b/>
          <w:bCs/>
          <w:color w:val="0070C0"/>
          <w:sz w:val="40"/>
          <w:szCs w:val="40"/>
        </w:rPr>
        <w:t>EMAINE DE LA PERSEVERANCE SCOLAIRE 202</w:t>
      </w:r>
      <w:r>
        <w:rPr>
          <w:rFonts w:ascii="Marianne" w:hAnsi="Marianne"/>
          <w:b/>
          <w:bCs/>
          <w:color w:val="0070C0"/>
          <w:sz w:val="40"/>
          <w:szCs w:val="40"/>
        </w:rPr>
        <w:t>6</w:t>
      </w:r>
    </w:p>
    <w:p w14:paraId="0D08DFC3" w14:textId="77777777" w:rsidR="00B945C0" w:rsidRDefault="00B945C0" w:rsidP="00E20538">
      <w:pPr>
        <w:jc w:val="both"/>
      </w:pPr>
    </w:p>
    <w:p w14:paraId="3F930FF0" w14:textId="7653EF1B" w:rsidR="004346D7" w:rsidRDefault="004346D7" w:rsidP="00E20538">
      <w:pPr>
        <w:jc w:val="both"/>
      </w:pPr>
      <w:r>
        <w:t>Véritable temps fort annuel sur la prévention et la remédiation du décrochage scolaire, la semaine de la persévérance scolaire permet de mobiliser la communauté pédagogique et éducative autour des jeunes et de leur réussite</w:t>
      </w:r>
      <w:r w:rsidR="00071516">
        <w:t>.</w:t>
      </w:r>
    </w:p>
    <w:p w14:paraId="07D74860" w14:textId="77777777" w:rsidR="00071516" w:rsidRDefault="00071516" w:rsidP="00E20538">
      <w:pPr>
        <w:jc w:val="both"/>
      </w:pPr>
      <w:r>
        <w:lastRenderedPageBreak/>
        <w:t xml:space="preserve">Cette réussite </w:t>
      </w:r>
      <w:r w:rsidR="004346D7">
        <w:t>prend des formes différentes d’un individu à l’autre</w:t>
      </w:r>
      <w:r>
        <w:t xml:space="preserve"> mais</w:t>
      </w:r>
      <w:r w:rsidR="004346D7">
        <w:t xml:space="preserve"> la persévérance </w:t>
      </w:r>
      <w:r>
        <w:t xml:space="preserve">en </w:t>
      </w:r>
      <w:r w:rsidR="004346D7">
        <w:t>est toujours l’</w:t>
      </w:r>
      <w:r>
        <w:t>élément central, elle représente l’élan qui pousse à avancer même lorsque les défis se multiplient, elle est la condition première de l’engagement des élèves vers un destin scolaire abouti.</w:t>
      </w:r>
    </w:p>
    <w:p w14:paraId="69004AB6" w14:textId="77777777" w:rsidR="00071516" w:rsidRDefault="00071516" w:rsidP="00E20538">
      <w:pPr>
        <w:jc w:val="both"/>
      </w:pPr>
      <w:r>
        <w:t>Comment l’entre</w:t>
      </w:r>
      <w:r w:rsidR="00E110C2">
        <w:t>te</w:t>
      </w:r>
      <w:r>
        <w:t xml:space="preserve">nir, la faire naître chez certains, de quelles pistes disposons-nous pour </w:t>
      </w:r>
      <w:r w:rsidR="003C3341">
        <w:t>doter</w:t>
      </w:r>
      <w:r>
        <w:t xml:space="preserve"> les élèves </w:t>
      </w:r>
      <w:r w:rsidR="003C3341">
        <w:t>de cette force, de cette pugnacité qui leur permettra de s’accrocher tout au long de leur cursus ?</w:t>
      </w:r>
    </w:p>
    <w:p w14:paraId="4B3F1F07" w14:textId="19F1DDFD" w:rsidR="004346D7" w:rsidRPr="00E20538" w:rsidRDefault="00071516" w:rsidP="00E20538">
      <w:pPr>
        <w:jc w:val="both"/>
      </w:pPr>
      <w:r w:rsidRPr="00E20538">
        <w:t>Après avoir abordé le sujet de la persévérance par le prisme de l’engagement (2022), celui de l’alliance éducative (2023)</w:t>
      </w:r>
      <w:r w:rsidR="00071E46">
        <w:t xml:space="preserve">, </w:t>
      </w:r>
      <w:r w:rsidRPr="00E20538">
        <w:t>celui de l’évaluation (2024)</w:t>
      </w:r>
      <w:r w:rsidR="00071E46">
        <w:t xml:space="preserve"> et enfin </w:t>
      </w:r>
      <w:r w:rsidR="00B945C0">
        <w:t>celui</w:t>
      </w:r>
      <w:r w:rsidR="004960C7">
        <w:t xml:space="preserve"> de </w:t>
      </w:r>
      <w:r w:rsidRPr="00E20538">
        <w:t>l’impact de la dimension relationnelle sur la persévérance</w:t>
      </w:r>
      <w:r w:rsidR="007E4D06">
        <w:t xml:space="preserve"> (2025)</w:t>
      </w:r>
      <w:r w:rsidR="00B945C0">
        <w:t xml:space="preserve">, la DRAIO a choisi cette année </w:t>
      </w:r>
      <w:r w:rsidR="004960C7">
        <w:t xml:space="preserve">d’apporter un éclairage </w:t>
      </w:r>
      <w:r w:rsidR="00071E46">
        <w:t xml:space="preserve">sur la thématique de l’usage du numérique dans le cadre scolaire en posant la question de son impact sur l’engagement et la persévérance. </w:t>
      </w:r>
    </w:p>
    <w:p w14:paraId="1BAA6C47" w14:textId="504E3516" w:rsidR="00071E46" w:rsidRPr="00643803" w:rsidRDefault="00E20538" w:rsidP="00BD67B2">
      <w:pPr>
        <w:jc w:val="center"/>
        <w:rPr>
          <w:b/>
          <w:bCs/>
          <w:sz w:val="40"/>
          <w:szCs w:val="40"/>
        </w:rPr>
      </w:pPr>
      <w:r w:rsidRPr="00643803">
        <w:rPr>
          <w:b/>
          <w:bCs/>
          <w:color w:val="0070C0"/>
          <w:sz w:val="40"/>
          <w:szCs w:val="40"/>
        </w:rPr>
        <w:t>L</w:t>
      </w:r>
      <w:r w:rsidR="00B945C0" w:rsidRPr="00643803">
        <w:rPr>
          <w:b/>
          <w:bCs/>
          <w:color w:val="0070C0"/>
          <w:sz w:val="40"/>
          <w:szCs w:val="40"/>
        </w:rPr>
        <w:t>e numérique, un levier pour</w:t>
      </w:r>
      <w:r w:rsidRPr="00643803">
        <w:rPr>
          <w:b/>
          <w:bCs/>
          <w:color w:val="0070C0"/>
          <w:sz w:val="40"/>
          <w:szCs w:val="40"/>
        </w:rPr>
        <w:t xml:space="preserve"> la </w:t>
      </w:r>
      <w:r w:rsidR="00BD67B2" w:rsidRPr="00643803">
        <w:rPr>
          <w:b/>
          <w:bCs/>
          <w:color w:val="0070C0"/>
          <w:sz w:val="40"/>
          <w:szCs w:val="40"/>
        </w:rPr>
        <w:t>persévérance ?</w:t>
      </w:r>
    </w:p>
    <w:p w14:paraId="4D5F72C2" w14:textId="1FB26ACF" w:rsidR="00E20538" w:rsidRDefault="00E20538" w:rsidP="00E20538">
      <w:pPr>
        <w:jc w:val="center"/>
      </w:pPr>
      <w:r w:rsidRPr="00E20538">
        <w:rPr>
          <w:b/>
          <w:bCs/>
        </w:rPr>
        <w:t xml:space="preserve">Le séminaire de région académique en </w:t>
      </w:r>
      <w:proofErr w:type="spellStart"/>
      <w:r w:rsidRPr="00E20538">
        <w:rPr>
          <w:b/>
          <w:bCs/>
        </w:rPr>
        <w:t>distanciel</w:t>
      </w:r>
      <w:proofErr w:type="spellEnd"/>
      <w:r w:rsidRPr="00E20538">
        <w:rPr>
          <w:b/>
          <w:bCs/>
        </w:rPr>
        <w:t xml:space="preserve"> se tiendra le mercredi </w:t>
      </w:r>
      <w:r w:rsidR="00B945C0">
        <w:rPr>
          <w:b/>
          <w:bCs/>
        </w:rPr>
        <w:t>1er</w:t>
      </w:r>
      <w:r w:rsidRPr="00E20538">
        <w:rPr>
          <w:b/>
          <w:bCs/>
        </w:rPr>
        <w:t xml:space="preserve"> Avril de </w:t>
      </w:r>
      <w:r w:rsidR="004C20FC">
        <w:rPr>
          <w:b/>
          <w:bCs/>
        </w:rPr>
        <w:t>13</w:t>
      </w:r>
      <w:r w:rsidRPr="00E20538">
        <w:rPr>
          <w:b/>
          <w:bCs/>
        </w:rPr>
        <w:t>h</w:t>
      </w:r>
      <w:r w:rsidR="004C20FC">
        <w:rPr>
          <w:b/>
          <w:bCs/>
        </w:rPr>
        <w:t>30</w:t>
      </w:r>
      <w:r w:rsidRPr="00E20538">
        <w:rPr>
          <w:b/>
          <w:bCs/>
        </w:rPr>
        <w:t xml:space="preserve"> à 17h</w:t>
      </w:r>
      <w:r>
        <w:t>.</w:t>
      </w:r>
    </w:p>
    <w:p w14:paraId="2574E5E4" w14:textId="08035B15" w:rsidR="004346D7" w:rsidRDefault="00E20538" w:rsidP="00E20538">
      <w:pPr>
        <w:jc w:val="center"/>
      </w:pPr>
      <w:r>
        <w:t>Trois conférences seront proposées pour nourrir la réflexion sur ce sujet.</w:t>
      </w:r>
    </w:p>
    <w:p w14:paraId="55A65332" w14:textId="1A39C25E" w:rsidR="004C040D" w:rsidRDefault="00BD67B2" w:rsidP="00BD67B2">
      <w:pPr>
        <w:rPr>
          <w:b/>
          <w:bCs/>
          <w:color w:val="0070C0"/>
          <w:sz w:val="24"/>
          <w:szCs w:val="24"/>
        </w:rPr>
      </w:pPr>
      <w:r>
        <w:rPr>
          <w:b/>
          <w:bCs/>
          <w:color w:val="0070C0"/>
          <w:sz w:val="24"/>
          <w:szCs w:val="24"/>
        </w:rPr>
        <w:t>La Thématique</w:t>
      </w:r>
    </w:p>
    <w:p w14:paraId="3E6DC674" w14:textId="25C5A7B0" w:rsidR="00BD67B2" w:rsidRDefault="00BD67B2" w:rsidP="00173026">
      <w:pPr>
        <w:jc w:val="both"/>
      </w:pPr>
      <w:r>
        <w:t xml:space="preserve">La question du numérique en éducation est l’objet </w:t>
      </w:r>
      <w:r w:rsidR="00173026">
        <w:t>de beaucoup d’interrogations</w:t>
      </w:r>
      <w:r>
        <w:t>.</w:t>
      </w:r>
      <w:r w:rsidR="00173026">
        <w:t xml:space="preserve"> Les progrès technologiques prennent une ampleur inédite et les débats sociétaux n’excluent pas la question scolaire. D</w:t>
      </w:r>
      <w:r>
        <w:t xml:space="preserve">e la crainte nourrie par l’idée que les écrans auraient </w:t>
      </w:r>
      <w:r>
        <w:lastRenderedPageBreak/>
        <w:t>une influence néfaste sur le développement cognitif des enfants à l’espoir que le levier du numérique pourrait faciliter la motivation et les apprentissages, la question reste vive et mérite une attention particulière.</w:t>
      </w:r>
    </w:p>
    <w:p w14:paraId="146331DA" w14:textId="79DAD0DE" w:rsidR="00BD67B2" w:rsidRDefault="00BD67B2" w:rsidP="00173026">
      <w:pPr>
        <w:jc w:val="both"/>
      </w:pPr>
      <w:r>
        <w:t>Le recherche</w:t>
      </w:r>
      <w:r w:rsidR="00173026">
        <w:t>,</w:t>
      </w:r>
      <w:r>
        <w:t xml:space="preserve"> notamment en psychologie cognitive des apprentissages et de la motivation</w:t>
      </w:r>
      <w:r w:rsidR="00173026">
        <w:t>,</w:t>
      </w:r>
      <w:r>
        <w:t xml:space="preserve"> </w:t>
      </w:r>
      <w:r w:rsidR="005827CB">
        <w:t>s’est emparée</w:t>
      </w:r>
      <w:r>
        <w:t xml:space="preserve"> depuis quelques années </w:t>
      </w:r>
      <w:r w:rsidR="005827CB">
        <w:t xml:space="preserve">de </w:t>
      </w:r>
      <w:r>
        <w:t xml:space="preserve">cette thématique avec l’objectif de dresser un état des lieux objectif des effets -positifs ou négatifs- que peut engendrer l’usage du numérique </w:t>
      </w:r>
      <w:r w:rsidR="00173026">
        <w:t>en éducation</w:t>
      </w:r>
      <w:r>
        <w:t>.</w:t>
      </w:r>
    </w:p>
    <w:p w14:paraId="119CFE49" w14:textId="28E882BC" w:rsidR="005827CB" w:rsidRDefault="00BD67B2" w:rsidP="00173026">
      <w:pPr>
        <w:jc w:val="both"/>
      </w:pPr>
      <w:r>
        <w:t xml:space="preserve">Les travaux menés dans ce domaine soulignent la complexité du lien entre numérique, apprentissage, et </w:t>
      </w:r>
      <w:r w:rsidR="001B4DCC">
        <w:t>engagement</w:t>
      </w:r>
      <w:r w:rsidR="005827CB">
        <w:t>,</w:t>
      </w:r>
      <w:r>
        <w:t xml:space="preserve"> et </w:t>
      </w:r>
      <w:r w:rsidR="005827CB">
        <w:t>notent la</w:t>
      </w:r>
      <w:r w:rsidR="005827CB" w:rsidRPr="005827CB">
        <w:t xml:space="preserve"> nécessité d’</w:t>
      </w:r>
      <w:r w:rsidR="00643803">
        <w:t>engager</w:t>
      </w:r>
      <w:r w:rsidR="005827CB" w:rsidRPr="005827CB">
        <w:t xml:space="preserve"> une analyse fine</w:t>
      </w:r>
      <w:r w:rsidR="00173026">
        <w:t xml:space="preserve"> des pratiques </w:t>
      </w:r>
      <w:r w:rsidR="005827CB">
        <w:t>: certain</w:t>
      </w:r>
      <w:r w:rsidR="001B4DCC">
        <w:t>s usages et contextes</w:t>
      </w:r>
      <w:r w:rsidR="005827CB">
        <w:t xml:space="preserve"> peuvent produire des effets contre-productifs alors que d’autres peuvent </w:t>
      </w:r>
      <w:r w:rsidR="00173026">
        <w:t>étayer</w:t>
      </w:r>
      <w:r w:rsidR="005827CB">
        <w:t xml:space="preserve"> des approches pédagogiques facilitantes.</w:t>
      </w:r>
    </w:p>
    <w:p w14:paraId="674C02AA" w14:textId="2A9DA548" w:rsidR="00BD67B2" w:rsidRDefault="005827CB" w:rsidP="00173026">
      <w:pPr>
        <w:jc w:val="both"/>
      </w:pPr>
      <w:r>
        <w:t xml:space="preserve">Apporter des éléments scientifiques de réflexion sur ce sujet est l’objectif que </w:t>
      </w:r>
      <w:r w:rsidR="001B4DCC">
        <w:t>s</w:t>
      </w:r>
      <w:r>
        <w:t>e sont fixés les trois chercheurs</w:t>
      </w:r>
      <w:r w:rsidR="00BD67B2">
        <w:t xml:space="preserve"> </w:t>
      </w:r>
      <w:r>
        <w:t>intervenant</w:t>
      </w:r>
      <w:r w:rsidR="00186E9F">
        <w:t xml:space="preserve"> lors de</w:t>
      </w:r>
      <w:r>
        <w:t xml:space="preserve"> notre séminaire</w:t>
      </w:r>
      <w:r w:rsidR="00186E9F">
        <w:t>.</w:t>
      </w:r>
    </w:p>
    <w:p w14:paraId="75FCD5C0" w14:textId="77777777" w:rsidR="00643803" w:rsidRDefault="00643803" w:rsidP="00173026">
      <w:pPr>
        <w:jc w:val="both"/>
      </w:pPr>
    </w:p>
    <w:p w14:paraId="64FF6342" w14:textId="77777777" w:rsidR="00643803" w:rsidRDefault="00643803" w:rsidP="00BD67B2">
      <w:bookmarkStart w:id="0" w:name="_GoBack"/>
      <w:bookmarkEnd w:id="0"/>
    </w:p>
    <w:p w14:paraId="0C572DB8" w14:textId="77777777" w:rsidR="00643803" w:rsidRDefault="00643803" w:rsidP="00BD67B2"/>
    <w:tbl>
      <w:tblPr>
        <w:tblStyle w:val="Grilledutablea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7229"/>
      </w:tblGrid>
      <w:tr w:rsidR="00643803" w:rsidRPr="00F83263" w14:paraId="3DD7DCD0" w14:textId="77777777" w:rsidTr="00766F5F">
        <w:tc>
          <w:tcPr>
            <w:tcW w:w="2132" w:type="dxa"/>
          </w:tcPr>
          <w:p w14:paraId="767EA9B8" w14:textId="77777777" w:rsidR="00643803" w:rsidRPr="00F83263" w:rsidRDefault="00643803" w:rsidP="00766F5F">
            <w:pPr>
              <w:spacing w:after="160" w:line="259" w:lineRule="auto"/>
            </w:pPr>
          </w:p>
          <w:p w14:paraId="7441F99E" w14:textId="77777777" w:rsidR="00643803" w:rsidRDefault="00643803" w:rsidP="00766F5F">
            <w:pPr>
              <w:spacing w:after="160" w:line="259" w:lineRule="auto"/>
              <w:rPr>
                <w:b/>
              </w:rPr>
            </w:pPr>
            <w:r w:rsidRPr="0027211D">
              <w:rPr>
                <w:rFonts w:ascii="Trebuchet MS" w:eastAsia="Trebuchet MS" w:hAnsi="Trebuchet MS" w:cs="Trebuchet MS"/>
                <w:noProof/>
                <w:sz w:val="20"/>
                <w:lang w:eastAsia="fr-FR"/>
              </w:rPr>
              <w:drawing>
                <wp:inline distT="0" distB="0" distL="0" distR="0" wp14:anchorId="37198931" wp14:editId="69B100D4">
                  <wp:extent cx="1445014" cy="144989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445014" cy="1449895"/>
                          </a:xfrm>
                          <a:prstGeom prst="rect">
                            <a:avLst/>
                          </a:prstGeom>
                        </pic:spPr>
                      </pic:pic>
                    </a:graphicData>
                  </a:graphic>
                </wp:inline>
              </w:drawing>
            </w:r>
          </w:p>
          <w:p w14:paraId="22121351" w14:textId="77777777" w:rsidR="00643803" w:rsidRDefault="00643803" w:rsidP="00766F5F">
            <w:pPr>
              <w:spacing w:after="160" w:line="259" w:lineRule="auto"/>
              <w:rPr>
                <w:b/>
              </w:rPr>
            </w:pPr>
          </w:p>
          <w:p w14:paraId="2A7BDA14" w14:textId="77777777" w:rsidR="00643803" w:rsidRPr="00F83263" w:rsidRDefault="00643803" w:rsidP="00766F5F">
            <w:pPr>
              <w:spacing w:after="160" w:line="259" w:lineRule="auto"/>
              <w:rPr>
                <w:b/>
              </w:rPr>
            </w:pPr>
            <w:r>
              <w:rPr>
                <w:b/>
              </w:rPr>
              <w:lastRenderedPageBreak/>
              <w:t>Fabien Fenouillet</w:t>
            </w:r>
          </w:p>
          <w:p w14:paraId="6C69E7F6" w14:textId="77777777" w:rsidR="00643803" w:rsidRPr="00F83263" w:rsidRDefault="00643803" w:rsidP="00766F5F">
            <w:pPr>
              <w:spacing w:after="160" w:line="259" w:lineRule="auto"/>
              <w:rPr>
                <w:b/>
              </w:rPr>
            </w:pPr>
            <w:r w:rsidRPr="00F83263">
              <w:rPr>
                <w:b/>
              </w:rPr>
              <w:t xml:space="preserve">Me </w:t>
            </w:r>
            <w:r>
              <w:rPr>
                <w:b/>
              </w:rPr>
              <w:t>1</w:t>
            </w:r>
            <w:r w:rsidRPr="00F83263">
              <w:rPr>
                <w:b/>
                <w:vertAlign w:val="superscript"/>
              </w:rPr>
              <w:t>er</w:t>
            </w:r>
            <w:r>
              <w:rPr>
                <w:b/>
              </w:rPr>
              <w:t xml:space="preserve"> </w:t>
            </w:r>
            <w:r w:rsidRPr="00F83263">
              <w:rPr>
                <w:b/>
              </w:rPr>
              <w:t>avril 202</w:t>
            </w:r>
            <w:r>
              <w:rPr>
                <w:b/>
              </w:rPr>
              <w:t>6</w:t>
            </w:r>
          </w:p>
          <w:p w14:paraId="35F4B923" w14:textId="77777777" w:rsidR="00643803" w:rsidRPr="00F83263" w:rsidRDefault="00643803" w:rsidP="00766F5F">
            <w:pPr>
              <w:spacing w:after="160" w:line="259" w:lineRule="auto"/>
              <w:rPr>
                <w:b/>
              </w:rPr>
            </w:pPr>
            <w:r w:rsidRPr="00F83263">
              <w:rPr>
                <w:b/>
              </w:rPr>
              <w:t>13h30</w:t>
            </w:r>
          </w:p>
        </w:tc>
        <w:tc>
          <w:tcPr>
            <w:tcW w:w="7229" w:type="dxa"/>
            <w:tcBorders>
              <w:top w:val="single" w:sz="4" w:space="0" w:color="auto"/>
              <w:left w:val="nil"/>
              <w:bottom w:val="single" w:sz="4" w:space="0" w:color="auto"/>
              <w:right w:val="nil"/>
            </w:tcBorders>
          </w:tcPr>
          <w:p w14:paraId="086F356E" w14:textId="77777777" w:rsidR="00643803" w:rsidRDefault="00643803" w:rsidP="00B9783C">
            <w:pPr>
              <w:spacing w:line="259" w:lineRule="auto"/>
              <w:jc w:val="both"/>
            </w:pPr>
            <w:r w:rsidRPr="00F83263">
              <w:lastRenderedPageBreak/>
              <w:t>Professeur de psychologie cognitive à l’Université Paris-Nanterre, spécialiste de la motivation.</w:t>
            </w:r>
          </w:p>
          <w:p w14:paraId="2D617BE7" w14:textId="77777777" w:rsidR="00643803" w:rsidRDefault="00643803" w:rsidP="00B9783C">
            <w:pPr>
              <w:spacing w:line="259" w:lineRule="auto"/>
              <w:jc w:val="both"/>
            </w:pPr>
            <w:r>
              <w:t>L’objet de ses travaux de chercheur est de comprendre l’effet des différentes formes de motivation sur les apprentissages.</w:t>
            </w:r>
          </w:p>
          <w:p w14:paraId="0FDB1693" w14:textId="77777777" w:rsidR="00643803" w:rsidRPr="00F83263" w:rsidRDefault="00643803" w:rsidP="00B9783C">
            <w:pPr>
              <w:spacing w:line="259" w:lineRule="auto"/>
              <w:jc w:val="both"/>
            </w:pPr>
            <w:r>
              <w:t>Il s’est particulièrement intéressé à la thématique « motivation et informatique en contexte scolaire »</w:t>
            </w:r>
          </w:p>
          <w:p w14:paraId="62FDCE15" w14:textId="77777777" w:rsidR="00643803" w:rsidRPr="00F83263" w:rsidRDefault="00643803" w:rsidP="00B9783C">
            <w:pPr>
              <w:jc w:val="both"/>
              <w:rPr>
                <w:b/>
                <w:bCs/>
              </w:rPr>
            </w:pPr>
            <w:r w:rsidRPr="00152DAB">
              <w:rPr>
                <w:b/>
                <w:bCs/>
              </w:rPr>
              <w:t xml:space="preserve">L’apprentissage est un phénomène complexe qui repose sur une diversité de comportements, plus ou moins adaptés aux exigences de la situation. Les théories motivationnelles permettent de mieux comprendre l’origine de ces comportements et, par conséquent, d’identifier les conditions susceptibles de les orienter ou d’en favoriser l’émergence. Cette conférence sera l’occasion </w:t>
            </w:r>
            <w:r w:rsidRPr="00152DAB">
              <w:rPr>
                <w:b/>
                <w:bCs/>
              </w:rPr>
              <w:lastRenderedPageBreak/>
              <w:t>de mettre en évidence le rôle central de la motivation dans les processus d’apprentissage et de présenter quelques théories motivationnelles qui permettent d’en éclairer les mécanismes et d’envisager des pistes d’action notamment en lien avec le numérique.</w:t>
            </w:r>
          </w:p>
        </w:tc>
      </w:tr>
      <w:tr w:rsidR="00643803" w:rsidRPr="0027211D" w14:paraId="462DEE3B" w14:textId="77777777" w:rsidTr="00766F5F">
        <w:trPr>
          <w:trHeight w:val="4011"/>
        </w:trPr>
        <w:tc>
          <w:tcPr>
            <w:tcW w:w="2132" w:type="dxa"/>
          </w:tcPr>
          <w:p w14:paraId="1D3EE198" w14:textId="77777777" w:rsidR="00643803" w:rsidRPr="00F83263" w:rsidRDefault="00643803" w:rsidP="00766F5F">
            <w:pPr>
              <w:spacing w:after="160" w:line="259" w:lineRule="auto"/>
              <w:rPr>
                <w:b/>
              </w:rPr>
            </w:pPr>
          </w:p>
          <w:p w14:paraId="10614961" w14:textId="77777777" w:rsidR="00643803" w:rsidRDefault="00643803" w:rsidP="00766F5F">
            <w:pPr>
              <w:spacing w:after="160" w:line="259" w:lineRule="auto"/>
              <w:rPr>
                <w:b/>
              </w:rPr>
            </w:pPr>
            <w:r w:rsidRPr="0027211D">
              <w:rPr>
                <w:rFonts w:ascii="Trebuchet MS" w:eastAsia="Trebuchet MS" w:hAnsi="Trebuchet MS" w:cs="Trebuchet MS"/>
                <w:noProof/>
                <w:sz w:val="20"/>
                <w:lang w:eastAsia="fr-FR"/>
              </w:rPr>
              <w:drawing>
                <wp:inline distT="0" distB="0" distL="0" distR="0" wp14:anchorId="4679B1A9" wp14:editId="45A188C5">
                  <wp:extent cx="1290161" cy="1290161"/>
                  <wp:effectExtent l="0" t="0" r="0" b="0"/>
                  <wp:docPr id="6" name="Image 6" descr="Alice Latimi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lice Latimier"/>
                          <pic:cNvPicPr/>
                        </pic:nvPicPr>
                        <pic:blipFill>
                          <a:blip r:embed="rId10" cstate="print"/>
                          <a:stretch>
                            <a:fillRect/>
                          </a:stretch>
                        </pic:blipFill>
                        <pic:spPr>
                          <a:xfrm>
                            <a:off x="0" y="0"/>
                            <a:ext cx="1290161" cy="1290161"/>
                          </a:xfrm>
                          <a:prstGeom prst="rect">
                            <a:avLst/>
                          </a:prstGeom>
                        </pic:spPr>
                      </pic:pic>
                    </a:graphicData>
                  </a:graphic>
                </wp:inline>
              </w:drawing>
            </w:r>
          </w:p>
          <w:p w14:paraId="7F48DAD0" w14:textId="77777777" w:rsidR="00643803" w:rsidRPr="00F83263" w:rsidRDefault="00643803" w:rsidP="00766F5F">
            <w:pPr>
              <w:spacing w:after="160" w:line="259" w:lineRule="auto"/>
              <w:rPr>
                <w:b/>
              </w:rPr>
            </w:pPr>
            <w:r>
              <w:rPr>
                <w:b/>
              </w:rPr>
              <w:t xml:space="preserve">Alice </w:t>
            </w:r>
            <w:proofErr w:type="spellStart"/>
            <w:r>
              <w:rPr>
                <w:b/>
              </w:rPr>
              <w:t>Latimier</w:t>
            </w:r>
            <w:proofErr w:type="spellEnd"/>
          </w:p>
          <w:p w14:paraId="28FF4FD4" w14:textId="77777777" w:rsidR="00643803" w:rsidRPr="00F83263" w:rsidRDefault="00643803" w:rsidP="00766F5F">
            <w:pPr>
              <w:spacing w:after="160" w:line="259" w:lineRule="auto"/>
              <w:rPr>
                <w:b/>
              </w:rPr>
            </w:pPr>
            <w:r w:rsidRPr="00F83263">
              <w:rPr>
                <w:b/>
              </w:rPr>
              <w:t xml:space="preserve">Me </w:t>
            </w:r>
            <w:r>
              <w:rPr>
                <w:b/>
              </w:rPr>
              <w:t>1er</w:t>
            </w:r>
            <w:r w:rsidRPr="00F83263">
              <w:rPr>
                <w:b/>
              </w:rPr>
              <w:t xml:space="preserve"> avril 202</w:t>
            </w:r>
            <w:r>
              <w:rPr>
                <w:b/>
              </w:rPr>
              <w:t>6</w:t>
            </w:r>
          </w:p>
          <w:p w14:paraId="65A65201" w14:textId="77777777" w:rsidR="00643803" w:rsidRPr="00F83263" w:rsidRDefault="00643803" w:rsidP="00766F5F">
            <w:pPr>
              <w:spacing w:after="160" w:line="259" w:lineRule="auto"/>
              <w:rPr>
                <w:b/>
              </w:rPr>
            </w:pPr>
            <w:r w:rsidRPr="00F83263">
              <w:rPr>
                <w:b/>
              </w:rPr>
              <w:t>14h4</w:t>
            </w:r>
            <w:r>
              <w:rPr>
                <w:b/>
              </w:rPr>
              <w:t>0</w:t>
            </w:r>
          </w:p>
        </w:tc>
        <w:tc>
          <w:tcPr>
            <w:tcW w:w="7229" w:type="dxa"/>
            <w:tcBorders>
              <w:top w:val="single" w:sz="4" w:space="0" w:color="auto"/>
              <w:left w:val="nil"/>
              <w:bottom w:val="single" w:sz="4" w:space="0" w:color="auto"/>
              <w:right w:val="nil"/>
            </w:tcBorders>
          </w:tcPr>
          <w:p w14:paraId="38A4CFF9" w14:textId="77777777" w:rsidR="00643803" w:rsidRDefault="00643803" w:rsidP="00B9783C">
            <w:pPr>
              <w:spacing w:after="160" w:line="259" w:lineRule="auto"/>
              <w:jc w:val="both"/>
            </w:pPr>
            <w:r>
              <w:t>Docteur en Psychologie cognitive ;</w:t>
            </w:r>
          </w:p>
          <w:p w14:paraId="25CB549B" w14:textId="77777777" w:rsidR="00643803" w:rsidRDefault="00643803" w:rsidP="00B9783C">
            <w:pPr>
              <w:spacing w:after="160" w:line="259" w:lineRule="auto"/>
              <w:jc w:val="both"/>
            </w:pPr>
            <w:r>
              <w:t>Son champ de recherche concerne l’optimisation des apprentissages, ses travaux permettent de comprendre en quoi l’utilisation du numérique peut constituer un soutien aux leviers cognitifs et métacognitifs de l’apprentissage.</w:t>
            </w:r>
          </w:p>
          <w:p w14:paraId="04798D49" w14:textId="64BEF568" w:rsidR="00643803" w:rsidRPr="0027211D" w:rsidRDefault="00643803" w:rsidP="00B9783C">
            <w:pPr>
              <w:spacing w:after="160" w:line="259" w:lineRule="auto"/>
              <w:jc w:val="both"/>
            </w:pPr>
            <w:r>
              <w:rPr>
                <w:b/>
                <w:bCs/>
              </w:rPr>
              <w:t xml:space="preserve">Alice </w:t>
            </w:r>
            <w:proofErr w:type="spellStart"/>
            <w:r>
              <w:rPr>
                <w:b/>
                <w:bCs/>
              </w:rPr>
              <w:t>Latimier</w:t>
            </w:r>
            <w:proofErr w:type="spellEnd"/>
            <w:r>
              <w:rPr>
                <w:b/>
                <w:bCs/>
              </w:rPr>
              <w:t xml:space="preserve"> présentera, lors de cette intervention, </w:t>
            </w:r>
            <w:r w:rsidRPr="00152DAB">
              <w:rPr>
                <w:b/>
                <w:bCs/>
              </w:rPr>
              <w:t xml:space="preserve">les résultats récents </w:t>
            </w:r>
            <w:r>
              <w:rPr>
                <w:b/>
                <w:bCs/>
              </w:rPr>
              <w:t xml:space="preserve">issus de la </w:t>
            </w:r>
            <w:r w:rsidRPr="00152DAB">
              <w:rPr>
                <w:b/>
                <w:bCs/>
              </w:rPr>
              <w:t xml:space="preserve">recherche en psychologie cognitive </w:t>
            </w:r>
            <w:r>
              <w:rPr>
                <w:b/>
                <w:bCs/>
              </w:rPr>
              <w:t>sur les mécanismes en jeu dans le soutien de</w:t>
            </w:r>
            <w:r w:rsidRPr="00152DAB">
              <w:rPr>
                <w:b/>
                <w:bCs/>
              </w:rPr>
              <w:t xml:space="preserve"> l’attention, la consolidation des savoirs, et l’envie d’apprendre des élèves</w:t>
            </w:r>
            <w:r>
              <w:rPr>
                <w:b/>
                <w:bCs/>
              </w:rPr>
              <w:t>.</w:t>
            </w:r>
            <w:r w:rsidR="00D975D2">
              <w:rPr>
                <w:b/>
                <w:bCs/>
              </w:rPr>
              <w:t xml:space="preserve"> </w:t>
            </w:r>
            <w:r>
              <w:rPr>
                <w:b/>
                <w:bCs/>
              </w:rPr>
              <w:t>A partir de là elle de</w:t>
            </w:r>
            <w:r w:rsidRPr="00152DAB">
              <w:rPr>
                <w:b/>
                <w:bCs/>
              </w:rPr>
              <w:t xml:space="preserve"> propose</w:t>
            </w:r>
            <w:r>
              <w:rPr>
                <w:b/>
                <w:bCs/>
              </w:rPr>
              <w:t>ra</w:t>
            </w:r>
            <w:r w:rsidRPr="00152DAB">
              <w:rPr>
                <w:b/>
                <w:bCs/>
              </w:rPr>
              <w:t xml:space="preserve"> quelques pistes </w:t>
            </w:r>
            <w:r>
              <w:rPr>
                <w:b/>
                <w:bCs/>
              </w:rPr>
              <w:t>d’action</w:t>
            </w:r>
            <w:r w:rsidRPr="00152DAB">
              <w:rPr>
                <w:b/>
                <w:bCs/>
              </w:rPr>
              <w:t>, puis questionne</w:t>
            </w:r>
            <w:r>
              <w:rPr>
                <w:b/>
                <w:bCs/>
              </w:rPr>
              <w:t>ra</w:t>
            </w:r>
            <w:r w:rsidRPr="00152DAB">
              <w:rPr>
                <w:b/>
                <w:bCs/>
              </w:rPr>
              <w:t xml:space="preserve"> la place </w:t>
            </w:r>
            <w:r>
              <w:rPr>
                <w:b/>
                <w:bCs/>
              </w:rPr>
              <w:t xml:space="preserve">possible </w:t>
            </w:r>
            <w:r w:rsidRPr="00152DAB">
              <w:rPr>
                <w:b/>
                <w:bCs/>
              </w:rPr>
              <w:t>du numérique et l’arrivée de l’IA dans les apprentissages scolaires pour réellement renforcer la persévérance</w:t>
            </w:r>
            <w:r>
              <w:rPr>
                <w:b/>
                <w:bCs/>
              </w:rPr>
              <w:t>.</w:t>
            </w:r>
          </w:p>
        </w:tc>
      </w:tr>
      <w:tr w:rsidR="00643803" w:rsidRPr="00F83263" w14:paraId="786E35F9" w14:textId="77777777" w:rsidTr="00766F5F">
        <w:tc>
          <w:tcPr>
            <w:tcW w:w="2132" w:type="dxa"/>
          </w:tcPr>
          <w:p w14:paraId="6B191690" w14:textId="77777777" w:rsidR="00643803" w:rsidRPr="00F83263" w:rsidRDefault="00643803" w:rsidP="00766F5F">
            <w:pPr>
              <w:spacing w:after="160" w:line="259" w:lineRule="auto"/>
            </w:pPr>
          </w:p>
          <w:p w14:paraId="3C8376F1" w14:textId="77777777" w:rsidR="00643803" w:rsidRDefault="00643803" w:rsidP="00766F5F">
            <w:pPr>
              <w:spacing w:after="160" w:line="259" w:lineRule="auto"/>
              <w:rPr>
                <w:b/>
              </w:rPr>
            </w:pPr>
            <w:r w:rsidRPr="0027211D">
              <w:rPr>
                <w:rFonts w:ascii="Trebuchet MS" w:eastAsia="Trebuchet MS" w:hAnsi="Trebuchet MS" w:cs="Trebuchet MS"/>
                <w:noProof/>
                <w:sz w:val="20"/>
                <w:lang w:eastAsia="fr-FR"/>
              </w:rPr>
              <w:drawing>
                <wp:inline distT="0" distB="0" distL="0" distR="0" wp14:anchorId="6108C861" wp14:editId="28FC10C6">
                  <wp:extent cx="1236408" cy="12095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236408" cy="1209579"/>
                          </a:xfrm>
                          <a:prstGeom prst="rect">
                            <a:avLst/>
                          </a:prstGeom>
                        </pic:spPr>
                      </pic:pic>
                    </a:graphicData>
                  </a:graphic>
                </wp:inline>
              </w:drawing>
            </w:r>
          </w:p>
          <w:p w14:paraId="1A76D34B" w14:textId="77777777" w:rsidR="00643803" w:rsidRPr="00F83263" w:rsidRDefault="00643803" w:rsidP="00766F5F">
            <w:pPr>
              <w:spacing w:after="160" w:line="259" w:lineRule="auto"/>
            </w:pPr>
            <w:r>
              <w:rPr>
                <w:b/>
              </w:rPr>
              <w:t>Jean-François Parmentier</w:t>
            </w:r>
          </w:p>
          <w:p w14:paraId="5B94B29F" w14:textId="77777777" w:rsidR="00643803" w:rsidRPr="00F83263" w:rsidRDefault="00643803" w:rsidP="00766F5F">
            <w:pPr>
              <w:spacing w:after="160" w:line="259" w:lineRule="auto"/>
              <w:rPr>
                <w:b/>
              </w:rPr>
            </w:pPr>
            <w:r w:rsidRPr="00F83263">
              <w:rPr>
                <w:b/>
              </w:rPr>
              <w:t xml:space="preserve">Me </w:t>
            </w:r>
            <w:r>
              <w:rPr>
                <w:b/>
              </w:rPr>
              <w:t>1er</w:t>
            </w:r>
            <w:r w:rsidRPr="00F83263">
              <w:rPr>
                <w:b/>
              </w:rPr>
              <w:t xml:space="preserve"> avril 202</w:t>
            </w:r>
            <w:r>
              <w:rPr>
                <w:b/>
              </w:rPr>
              <w:t>6</w:t>
            </w:r>
          </w:p>
          <w:p w14:paraId="101C3303" w14:textId="39BEF6F4" w:rsidR="00643803" w:rsidRPr="00B9783C" w:rsidRDefault="00643803" w:rsidP="00766F5F">
            <w:pPr>
              <w:spacing w:after="160" w:line="259" w:lineRule="auto"/>
              <w:rPr>
                <w:b/>
              </w:rPr>
            </w:pPr>
            <w:r w:rsidRPr="00F83263">
              <w:rPr>
                <w:b/>
              </w:rPr>
              <w:t>15h45</w:t>
            </w:r>
          </w:p>
        </w:tc>
        <w:tc>
          <w:tcPr>
            <w:tcW w:w="7229" w:type="dxa"/>
            <w:tcBorders>
              <w:top w:val="single" w:sz="4" w:space="0" w:color="auto"/>
              <w:left w:val="nil"/>
              <w:bottom w:val="nil"/>
              <w:right w:val="nil"/>
            </w:tcBorders>
          </w:tcPr>
          <w:p w14:paraId="24DDA134" w14:textId="0CD973C5" w:rsidR="00643803" w:rsidRPr="00F83263" w:rsidRDefault="00643803" w:rsidP="00B9783C">
            <w:pPr>
              <w:spacing w:line="259" w:lineRule="auto"/>
              <w:jc w:val="both"/>
            </w:pPr>
            <w:r w:rsidRPr="00F83263">
              <w:t>Enseignant à l’IPSA Toulouse et chercheur associé à l’institut de recherche en informatique de TOULOUSE (IRIT)</w:t>
            </w:r>
            <w:r>
              <w:t>.</w:t>
            </w:r>
            <w:r w:rsidR="00D975D2">
              <w:t xml:space="preserve"> </w:t>
            </w:r>
            <w:r>
              <w:t>Ses recherches, concernent l’usage du numérique pour l’enseignement et s’appuie sur la psychologie cognitive. Ses apports intègrent une dimension opérationnelle et concrète.</w:t>
            </w:r>
          </w:p>
          <w:p w14:paraId="657E1AAF" w14:textId="77777777" w:rsidR="00643803" w:rsidRPr="00152DAB" w:rsidRDefault="00643803" w:rsidP="00B9783C">
            <w:pPr>
              <w:jc w:val="both"/>
              <w:rPr>
                <w:b/>
                <w:bCs/>
              </w:rPr>
            </w:pPr>
            <w:r w:rsidRPr="00152DAB">
              <w:rPr>
                <w:b/>
                <w:bCs/>
              </w:rPr>
              <w:t xml:space="preserve">À quelles conditions le numérique peut-il contribuer à l'engagement des élèves ? S'appuyant sur les travaux en psychologie cognitive et en numérique éducatif, </w:t>
            </w:r>
            <w:r>
              <w:rPr>
                <w:b/>
                <w:bCs/>
              </w:rPr>
              <w:t xml:space="preserve">M. </w:t>
            </w:r>
            <w:r w:rsidRPr="00152DAB">
              <w:rPr>
                <w:b/>
                <w:bCs/>
              </w:rPr>
              <w:t>Parmentier apportera des éléments de réponse à cette question. Les grands principes identifiés seront ensuite illustrés à travers des exemples pour le travail des élèves en classe et hors classe. Ces exemples illustreront des situations où le numérique est pertinent, mais aussi des situations où il ne l'est pas. En apportant des éléments de réponse sur la manière dont le numérique est susceptible de soutenir l'engagement actif des élèves, cette conférence s’inscrit plus largement dans la réflexion sur les leviers favorisant la persévérance scolaire et la prévention du décrochage.</w:t>
            </w:r>
          </w:p>
          <w:p w14:paraId="31D2A0C3" w14:textId="77777777" w:rsidR="00643803" w:rsidRPr="00F83263" w:rsidRDefault="00643803" w:rsidP="00766F5F">
            <w:pPr>
              <w:spacing w:after="160" w:line="259" w:lineRule="auto"/>
            </w:pPr>
          </w:p>
        </w:tc>
      </w:tr>
    </w:tbl>
    <w:p w14:paraId="1B5066A6" w14:textId="77777777" w:rsidR="00643803" w:rsidRPr="004C040D" w:rsidRDefault="00643803" w:rsidP="00B9783C">
      <w:pPr>
        <w:rPr>
          <w:b/>
          <w:bCs/>
          <w:color w:val="0070C0"/>
          <w:sz w:val="24"/>
          <w:szCs w:val="24"/>
        </w:rPr>
      </w:pPr>
    </w:p>
    <w:sectPr w:rsidR="00643803" w:rsidRPr="004C040D" w:rsidSect="003526F6">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E4E38C"/>
    <w:multiLevelType w:val="hybridMultilevel"/>
    <w:tmpl w:val="F95B34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C3"/>
    <w:rsid w:val="00071516"/>
    <w:rsid w:val="00071E46"/>
    <w:rsid w:val="00074ECC"/>
    <w:rsid w:val="000A39FA"/>
    <w:rsid w:val="000B0F73"/>
    <w:rsid w:val="000B2CA1"/>
    <w:rsid w:val="000D58B2"/>
    <w:rsid w:val="000E2BEB"/>
    <w:rsid w:val="000F2874"/>
    <w:rsid w:val="00173026"/>
    <w:rsid w:val="00186E9F"/>
    <w:rsid w:val="001A5487"/>
    <w:rsid w:val="001B4DCC"/>
    <w:rsid w:val="001D44C1"/>
    <w:rsid w:val="001E4F8D"/>
    <w:rsid w:val="002375BE"/>
    <w:rsid w:val="00254C07"/>
    <w:rsid w:val="002A42D3"/>
    <w:rsid w:val="002C7438"/>
    <w:rsid w:val="002D3604"/>
    <w:rsid w:val="002E69FC"/>
    <w:rsid w:val="002F284B"/>
    <w:rsid w:val="00301EC1"/>
    <w:rsid w:val="00347DAB"/>
    <w:rsid w:val="003526F6"/>
    <w:rsid w:val="003B1F3A"/>
    <w:rsid w:val="003B7A98"/>
    <w:rsid w:val="003C3341"/>
    <w:rsid w:val="003D1251"/>
    <w:rsid w:val="004346D7"/>
    <w:rsid w:val="004402D1"/>
    <w:rsid w:val="00466414"/>
    <w:rsid w:val="004960C7"/>
    <w:rsid w:val="004A28DE"/>
    <w:rsid w:val="004B021B"/>
    <w:rsid w:val="004B0946"/>
    <w:rsid w:val="004B6018"/>
    <w:rsid w:val="004C040D"/>
    <w:rsid w:val="004C20FC"/>
    <w:rsid w:val="004C3E1D"/>
    <w:rsid w:val="004D5F94"/>
    <w:rsid w:val="0051700A"/>
    <w:rsid w:val="005512F8"/>
    <w:rsid w:val="00575A91"/>
    <w:rsid w:val="005827CB"/>
    <w:rsid w:val="005E2692"/>
    <w:rsid w:val="00643803"/>
    <w:rsid w:val="0065244F"/>
    <w:rsid w:val="00652558"/>
    <w:rsid w:val="00680899"/>
    <w:rsid w:val="006E3F5F"/>
    <w:rsid w:val="00777D7F"/>
    <w:rsid w:val="007916BF"/>
    <w:rsid w:val="007C4A28"/>
    <w:rsid w:val="007E4D06"/>
    <w:rsid w:val="00801F73"/>
    <w:rsid w:val="0080351D"/>
    <w:rsid w:val="00840876"/>
    <w:rsid w:val="0087073D"/>
    <w:rsid w:val="00873940"/>
    <w:rsid w:val="0087543B"/>
    <w:rsid w:val="008A57A2"/>
    <w:rsid w:val="00905F2F"/>
    <w:rsid w:val="009377B8"/>
    <w:rsid w:val="00953332"/>
    <w:rsid w:val="00A418BD"/>
    <w:rsid w:val="00AC0A15"/>
    <w:rsid w:val="00AC4E7B"/>
    <w:rsid w:val="00AE3443"/>
    <w:rsid w:val="00AE6640"/>
    <w:rsid w:val="00B557E6"/>
    <w:rsid w:val="00B945C0"/>
    <w:rsid w:val="00B9783C"/>
    <w:rsid w:val="00BD43C3"/>
    <w:rsid w:val="00BD67B2"/>
    <w:rsid w:val="00BF1DD0"/>
    <w:rsid w:val="00C05279"/>
    <w:rsid w:val="00C4069C"/>
    <w:rsid w:val="00C5224E"/>
    <w:rsid w:val="00CD7425"/>
    <w:rsid w:val="00CF6467"/>
    <w:rsid w:val="00D14FA7"/>
    <w:rsid w:val="00D84029"/>
    <w:rsid w:val="00D975D2"/>
    <w:rsid w:val="00E110C2"/>
    <w:rsid w:val="00E20538"/>
    <w:rsid w:val="00E3648F"/>
    <w:rsid w:val="00E41371"/>
    <w:rsid w:val="00E46DC9"/>
    <w:rsid w:val="00EC6A4F"/>
    <w:rsid w:val="00F422CA"/>
    <w:rsid w:val="00F4496A"/>
    <w:rsid w:val="00F64F33"/>
    <w:rsid w:val="00F7598B"/>
    <w:rsid w:val="00FD2C61"/>
    <w:rsid w:val="00FF1A32"/>
    <w:rsid w:val="00FF4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1F07"/>
  <w15:chartTrackingRefBased/>
  <w15:docId w15:val="{D9E19D26-F122-442A-85A4-5A9BAFC3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4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522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C5224E"/>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8A57A2"/>
    <w:rPr>
      <w:b/>
      <w:bCs/>
    </w:rPr>
  </w:style>
  <w:style w:type="character" w:styleId="Lienhypertexte">
    <w:name w:val="Hyperlink"/>
    <w:basedOn w:val="Policepardfaut"/>
    <w:uiPriority w:val="99"/>
    <w:unhideWhenUsed/>
    <w:rsid w:val="00953332"/>
    <w:rPr>
      <w:color w:val="0563C1"/>
      <w:u w:val="single"/>
    </w:rPr>
  </w:style>
  <w:style w:type="paragraph" w:styleId="Paragraphedeliste">
    <w:name w:val="List Paragraph"/>
    <w:basedOn w:val="Normal"/>
    <w:uiPriority w:val="34"/>
    <w:qFormat/>
    <w:rsid w:val="00953332"/>
    <w:pPr>
      <w:spacing w:line="256" w:lineRule="auto"/>
      <w:ind w:left="720"/>
      <w:contextualSpacing/>
    </w:pPr>
  </w:style>
  <w:style w:type="table" w:styleId="Grilledutableau">
    <w:name w:val="Table Grid"/>
    <w:basedOn w:val="TableauNormal"/>
    <w:uiPriority w:val="39"/>
    <w:rsid w:val="0095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68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8803">
      <w:bodyDiv w:val="1"/>
      <w:marLeft w:val="0"/>
      <w:marRight w:val="0"/>
      <w:marTop w:val="0"/>
      <w:marBottom w:val="0"/>
      <w:divBdr>
        <w:top w:val="none" w:sz="0" w:space="0" w:color="auto"/>
        <w:left w:val="none" w:sz="0" w:space="0" w:color="auto"/>
        <w:bottom w:val="none" w:sz="0" w:space="0" w:color="auto"/>
        <w:right w:val="none" w:sz="0" w:space="0" w:color="auto"/>
      </w:divBdr>
    </w:div>
    <w:div w:id="209540180">
      <w:bodyDiv w:val="1"/>
      <w:marLeft w:val="0"/>
      <w:marRight w:val="0"/>
      <w:marTop w:val="0"/>
      <w:marBottom w:val="0"/>
      <w:divBdr>
        <w:top w:val="none" w:sz="0" w:space="0" w:color="auto"/>
        <w:left w:val="none" w:sz="0" w:space="0" w:color="auto"/>
        <w:bottom w:val="none" w:sz="0" w:space="0" w:color="auto"/>
        <w:right w:val="none" w:sz="0" w:space="0" w:color="auto"/>
      </w:divBdr>
    </w:div>
    <w:div w:id="522401969">
      <w:bodyDiv w:val="1"/>
      <w:marLeft w:val="0"/>
      <w:marRight w:val="0"/>
      <w:marTop w:val="0"/>
      <w:marBottom w:val="0"/>
      <w:divBdr>
        <w:top w:val="none" w:sz="0" w:space="0" w:color="auto"/>
        <w:left w:val="none" w:sz="0" w:space="0" w:color="auto"/>
        <w:bottom w:val="none" w:sz="0" w:space="0" w:color="auto"/>
        <w:right w:val="none" w:sz="0" w:space="0" w:color="auto"/>
      </w:divBdr>
    </w:div>
    <w:div w:id="898436584">
      <w:bodyDiv w:val="1"/>
      <w:marLeft w:val="0"/>
      <w:marRight w:val="0"/>
      <w:marTop w:val="0"/>
      <w:marBottom w:val="0"/>
      <w:divBdr>
        <w:top w:val="none" w:sz="0" w:space="0" w:color="auto"/>
        <w:left w:val="none" w:sz="0" w:space="0" w:color="auto"/>
        <w:bottom w:val="none" w:sz="0" w:space="0" w:color="auto"/>
        <w:right w:val="none" w:sz="0" w:space="0" w:color="auto"/>
      </w:divBdr>
    </w:div>
    <w:div w:id="1226376886">
      <w:bodyDiv w:val="1"/>
      <w:marLeft w:val="0"/>
      <w:marRight w:val="0"/>
      <w:marTop w:val="0"/>
      <w:marBottom w:val="0"/>
      <w:divBdr>
        <w:top w:val="none" w:sz="0" w:space="0" w:color="auto"/>
        <w:left w:val="none" w:sz="0" w:space="0" w:color="auto"/>
        <w:bottom w:val="none" w:sz="0" w:space="0" w:color="auto"/>
        <w:right w:val="none" w:sz="0" w:space="0" w:color="auto"/>
      </w:divBdr>
    </w:div>
    <w:div w:id="1316181801">
      <w:bodyDiv w:val="1"/>
      <w:marLeft w:val="0"/>
      <w:marRight w:val="0"/>
      <w:marTop w:val="0"/>
      <w:marBottom w:val="0"/>
      <w:divBdr>
        <w:top w:val="none" w:sz="0" w:space="0" w:color="auto"/>
        <w:left w:val="none" w:sz="0" w:space="0" w:color="auto"/>
        <w:bottom w:val="none" w:sz="0" w:space="0" w:color="auto"/>
        <w:right w:val="none" w:sz="0" w:space="0" w:color="auto"/>
      </w:divBdr>
    </w:div>
    <w:div w:id="1598170278">
      <w:bodyDiv w:val="1"/>
      <w:marLeft w:val="0"/>
      <w:marRight w:val="0"/>
      <w:marTop w:val="0"/>
      <w:marBottom w:val="0"/>
      <w:divBdr>
        <w:top w:val="none" w:sz="0" w:space="0" w:color="auto"/>
        <w:left w:val="none" w:sz="0" w:space="0" w:color="auto"/>
        <w:bottom w:val="none" w:sz="0" w:space="0" w:color="auto"/>
        <w:right w:val="none" w:sz="0" w:space="0" w:color="auto"/>
      </w:divBdr>
    </w:div>
    <w:div w:id="1679774029">
      <w:bodyDiv w:val="1"/>
      <w:marLeft w:val="0"/>
      <w:marRight w:val="0"/>
      <w:marTop w:val="0"/>
      <w:marBottom w:val="0"/>
      <w:divBdr>
        <w:top w:val="none" w:sz="0" w:space="0" w:color="auto"/>
        <w:left w:val="none" w:sz="0" w:space="0" w:color="auto"/>
        <w:bottom w:val="none" w:sz="0" w:space="0" w:color="auto"/>
        <w:right w:val="none" w:sz="0" w:space="0" w:color="auto"/>
      </w:divBdr>
    </w:div>
    <w:div w:id="1878275147">
      <w:bodyDiv w:val="1"/>
      <w:marLeft w:val="0"/>
      <w:marRight w:val="0"/>
      <w:marTop w:val="0"/>
      <w:marBottom w:val="0"/>
      <w:divBdr>
        <w:top w:val="none" w:sz="0" w:space="0" w:color="auto"/>
        <w:left w:val="none" w:sz="0" w:space="0" w:color="auto"/>
        <w:bottom w:val="none" w:sz="0" w:space="0" w:color="auto"/>
        <w:right w:val="none" w:sz="0" w:space="0" w:color="auto"/>
      </w:divBdr>
    </w:div>
    <w:div w:id="2019193118">
      <w:bodyDiv w:val="1"/>
      <w:marLeft w:val="0"/>
      <w:marRight w:val="0"/>
      <w:marTop w:val="0"/>
      <w:marBottom w:val="0"/>
      <w:divBdr>
        <w:top w:val="none" w:sz="0" w:space="0" w:color="auto"/>
        <w:left w:val="none" w:sz="0" w:space="0" w:color="auto"/>
        <w:bottom w:val="none" w:sz="0" w:space="0" w:color="auto"/>
        <w:right w:val="none" w:sz="0" w:space="0" w:color="auto"/>
      </w:divBdr>
    </w:div>
    <w:div w:id="2032757027">
      <w:bodyDiv w:val="1"/>
      <w:marLeft w:val="0"/>
      <w:marRight w:val="0"/>
      <w:marTop w:val="0"/>
      <w:marBottom w:val="0"/>
      <w:divBdr>
        <w:top w:val="none" w:sz="0" w:space="0" w:color="auto"/>
        <w:left w:val="none" w:sz="0" w:space="0" w:color="auto"/>
        <w:bottom w:val="none" w:sz="0" w:space="0" w:color="auto"/>
        <w:right w:val="none" w:sz="0" w:space="0" w:color="auto"/>
      </w:divBdr>
    </w:div>
    <w:div w:id="2130929357">
      <w:bodyDiv w:val="1"/>
      <w:marLeft w:val="0"/>
      <w:marRight w:val="0"/>
      <w:marTop w:val="0"/>
      <w:marBottom w:val="0"/>
      <w:divBdr>
        <w:top w:val="none" w:sz="0" w:space="0" w:color="auto"/>
        <w:left w:val="none" w:sz="0" w:space="0" w:color="auto"/>
        <w:bottom w:val="none" w:sz="0" w:space="0" w:color="auto"/>
        <w:right w:val="none" w:sz="0" w:space="0" w:color="auto"/>
      </w:divBdr>
    </w:div>
    <w:div w:id="21384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deodiff.phm.education.gouv.fr/live/c7553570317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5005</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Senectaire</dc:creator>
  <cp:keywords/>
  <dc:description/>
  <cp:lastModifiedBy>sdeleglise</cp:lastModifiedBy>
  <cp:revision>2</cp:revision>
  <cp:lastPrinted>2025-03-11T11:29:00Z</cp:lastPrinted>
  <dcterms:created xsi:type="dcterms:W3CDTF">2026-03-18T10:25:00Z</dcterms:created>
  <dcterms:modified xsi:type="dcterms:W3CDTF">2026-03-18T10:25:00Z</dcterms:modified>
</cp:coreProperties>
</file>