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284A86" w:rsidRPr="00284A86" w:rsidRDefault="009E7F87" w:rsidP="00284A8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="00284A86" w:rsidRPr="00284A8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CHAIRES SUPÉRIEURES</w:t>
            </w:r>
          </w:p>
          <w:p w:rsidR="00016CA1" w:rsidRPr="00016CA1" w:rsidRDefault="00B06DEA" w:rsidP="0028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2026</w:t>
            </w:r>
            <w:r w:rsidR="00284A86" w:rsidRPr="00284A8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-202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284A86" w:rsidRPr="003D31F4">
        <w:rPr>
          <w:rFonts w:ascii="Verdana" w:hAnsi="Verdana"/>
          <w:sz w:val="18"/>
          <w:szCs w:val="18"/>
        </w:rPr>
        <w:t>chaque dossier</w:t>
      </w:r>
      <w:r w:rsidR="00284A86">
        <w:rPr>
          <w:rFonts w:ascii="Verdana" w:hAnsi="Verdana"/>
          <w:sz w:val="18"/>
          <w:szCs w:val="18"/>
        </w:rPr>
        <w:t xml:space="preserve"> complet</w:t>
      </w:r>
      <w:r w:rsidR="00284A86" w:rsidRPr="003D31F4">
        <w:rPr>
          <w:rFonts w:ascii="Verdana" w:hAnsi="Verdana"/>
          <w:sz w:val="18"/>
          <w:szCs w:val="18"/>
        </w:rPr>
        <w:t xml:space="preserve"> </w:t>
      </w:r>
      <w:r w:rsidR="00284A86">
        <w:rPr>
          <w:rFonts w:ascii="Verdana" w:hAnsi="Verdana"/>
          <w:sz w:val="18"/>
          <w:szCs w:val="18"/>
        </w:rPr>
        <w:t xml:space="preserve">doit comprendre </w:t>
      </w:r>
      <w:r w:rsidR="00284A86" w:rsidRPr="003D31F4">
        <w:rPr>
          <w:rFonts w:ascii="Verdana" w:hAnsi="Verdana"/>
          <w:sz w:val="18"/>
          <w:szCs w:val="18"/>
        </w:rPr>
        <w:t xml:space="preserve">: </w:t>
      </w:r>
      <w:r w:rsidR="00284A86">
        <w:rPr>
          <w:rFonts w:ascii="Verdana" w:hAnsi="Verdana"/>
          <w:sz w:val="18"/>
          <w:szCs w:val="18"/>
        </w:rPr>
        <w:t>les imprimés joints en annexe 1 et 2 + le dernier arrêté d’échelon acquis + une attestation d’enseignement en CPGE.</w:t>
      </w:r>
    </w:p>
    <w:p w:rsidR="00971368" w:rsidRDefault="00971368" w:rsidP="0097136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Chaque établissement renverra une annexe 3 sur laquelle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CA1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r w:rsidR="00284A86" w:rsidRPr="00284A8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CHAIRES SUP. </w:t>
                            </w:r>
                            <w:r w:rsidR="009E7F8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202</w:t>
                            </w:r>
                            <w:r w:rsidR="00B06DE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9E7F8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-202</w:t>
                            </w:r>
                            <w:r w:rsidR="00B06DE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56149F" w:rsidRPr="0056149F" w:rsidRDefault="0056149F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</w:t>
                            </w:r>
                            <w:r w:rsidR="003E43E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3E43EA" w:rsidRPr="003E43E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3E43E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degré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016CA1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r w:rsidR="00284A86" w:rsidRPr="00284A86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CHAIRES SUP. </w:t>
                      </w:r>
                      <w:r w:rsidR="009E7F87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202</w:t>
                      </w:r>
                      <w:r w:rsidR="00B06DEA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9E7F87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-202</w:t>
                      </w:r>
                      <w:r w:rsidR="00B06DEA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:rsidR="0056149F" w:rsidRPr="0056149F" w:rsidRDefault="0056149F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</w:t>
                      </w:r>
                      <w:r w:rsidR="003E43EA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2</w:t>
                      </w:r>
                      <w:r w:rsidR="003E43EA" w:rsidRPr="003E43EA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3E43EA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degré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B06DEA">
        <w:rPr>
          <w:rFonts w:ascii="Verdana" w:hAnsi="Verdana"/>
          <w:b/>
          <w:sz w:val="18"/>
          <w:szCs w:val="18"/>
          <w:u w:val="single"/>
        </w:rPr>
        <w:t>mardi 19</w:t>
      </w:r>
      <w:r w:rsidR="009E7F87">
        <w:rPr>
          <w:rFonts w:ascii="Verdana" w:hAnsi="Verdana"/>
          <w:b/>
          <w:sz w:val="18"/>
          <w:szCs w:val="18"/>
          <w:u w:val="single"/>
        </w:rPr>
        <w:t xml:space="preserve"> mai 202</w:t>
      </w:r>
      <w:r w:rsidR="00B06DEA">
        <w:rPr>
          <w:rFonts w:ascii="Verdana" w:hAnsi="Verdana"/>
          <w:b/>
          <w:sz w:val="18"/>
          <w:szCs w:val="18"/>
          <w:u w:val="single"/>
        </w:rPr>
        <w:t>6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, cachet de la poste faisant foi</w:t>
      </w:r>
      <w:bookmarkStart w:id="0" w:name="_GoBack"/>
      <w:bookmarkEnd w:id="0"/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9E7F87" w:rsidP="00016CA1">
    <w:pPr>
      <w:pStyle w:val="ServiceInfoHeader"/>
      <w:rPr>
        <w:rFonts w:ascii="Verdana" w:hAnsi="Verdana"/>
      </w:rPr>
    </w:pPr>
    <w:r>
      <w:rPr>
        <w:rFonts w:ascii="Verdana" w:hAnsi="Verdana"/>
      </w:rPr>
      <w:t>Direction de l’enseignement privé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FE4"/>
    <w:multiLevelType w:val="hybridMultilevel"/>
    <w:tmpl w:val="D728CF82"/>
    <w:lvl w:ilvl="0" w:tplc="6AC0A8E0">
      <w:start w:val="1"/>
      <w:numFmt w:val="bullet"/>
      <w:lvlText w:val=""/>
      <w:lvlJc w:val="left"/>
      <w:pPr>
        <w:tabs>
          <w:tab w:val="num" w:pos="340"/>
        </w:tabs>
        <w:ind w:left="170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4A86"/>
    <w:rsid w:val="00286CAE"/>
    <w:rsid w:val="002954F2"/>
    <w:rsid w:val="003127D5"/>
    <w:rsid w:val="00357512"/>
    <w:rsid w:val="003B1A0C"/>
    <w:rsid w:val="003E1862"/>
    <w:rsid w:val="003E43EA"/>
    <w:rsid w:val="00400CA8"/>
    <w:rsid w:val="00407BCC"/>
    <w:rsid w:val="00446FB1"/>
    <w:rsid w:val="00473D86"/>
    <w:rsid w:val="004762B5"/>
    <w:rsid w:val="004A4219"/>
    <w:rsid w:val="0056149F"/>
    <w:rsid w:val="00595D01"/>
    <w:rsid w:val="005A67BD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71368"/>
    <w:rsid w:val="00990A83"/>
    <w:rsid w:val="009957F6"/>
    <w:rsid w:val="009B1F33"/>
    <w:rsid w:val="009B3A0E"/>
    <w:rsid w:val="009B6CF4"/>
    <w:rsid w:val="009E7F87"/>
    <w:rsid w:val="00A00955"/>
    <w:rsid w:val="00A52418"/>
    <w:rsid w:val="00AA29A1"/>
    <w:rsid w:val="00B06DEA"/>
    <w:rsid w:val="00B70B54"/>
    <w:rsid w:val="00B934BA"/>
    <w:rsid w:val="00B93E13"/>
    <w:rsid w:val="00BC1CA1"/>
    <w:rsid w:val="00BD140A"/>
    <w:rsid w:val="00C70CCC"/>
    <w:rsid w:val="00CE169A"/>
    <w:rsid w:val="00D11007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5CC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fb0879af-3eba-417a-a55a-ffe6dcd6ca7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2026-04-21T09:36:00Z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