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A0" w:rsidRPr="00AD2D58" w:rsidRDefault="00CD44A0" w:rsidP="00CD44A0">
      <w:pPr>
        <w:jc w:val="center"/>
        <w:rPr>
          <w:rFonts w:ascii="Marianne" w:hAnsi="Marianne" w:cs="Arial"/>
          <w:b/>
          <w:color w:val="187F9E"/>
        </w:rPr>
      </w:pPr>
      <w:r w:rsidRPr="00AD2D58">
        <w:rPr>
          <w:rFonts w:ascii="Marianne" w:hAnsi="Marianne"/>
          <w:b/>
          <w:color w:val="187F9E"/>
        </w:rPr>
        <w:t>AVIS EMIS PAR LE COMITÉ D’HYGI</w:t>
      </w:r>
      <w:r w:rsidRPr="00AD2D58">
        <w:rPr>
          <w:rFonts w:ascii="Marianne" w:hAnsi="Marianne" w:cs="Arial"/>
          <w:b/>
          <w:color w:val="187F9E"/>
        </w:rPr>
        <w:t>ÈNE, DE SÉCURITÉ ET DES CONDITIONS DE TRAVAIL ACADÉMIQUE</w:t>
      </w:r>
    </w:p>
    <w:tbl>
      <w:tblPr>
        <w:tblStyle w:val="Grilledutableau"/>
        <w:tblpPr w:leftFromText="141" w:rightFromText="141" w:vertAnchor="page" w:horzAnchor="margin" w:tblpY="2566"/>
        <w:tblW w:w="14170" w:type="dxa"/>
        <w:tblInd w:w="0" w:type="dxa"/>
        <w:tblLook w:val="04A0" w:firstRow="1" w:lastRow="0" w:firstColumn="1" w:lastColumn="0" w:noHBand="0" w:noVBand="1"/>
      </w:tblPr>
      <w:tblGrid>
        <w:gridCol w:w="4957"/>
        <w:gridCol w:w="9213"/>
      </w:tblGrid>
      <w:tr w:rsidR="00246768" w:rsidTr="00214DFD">
        <w:tc>
          <w:tcPr>
            <w:tcW w:w="4957" w:type="dxa"/>
            <w:tcBorders>
              <w:top w:val="single" w:sz="4" w:space="0" w:color="auto"/>
              <w:left w:val="single" w:sz="4" w:space="0" w:color="auto"/>
              <w:bottom w:val="single" w:sz="4" w:space="0" w:color="auto"/>
              <w:right w:val="single" w:sz="4" w:space="0" w:color="auto"/>
            </w:tcBorders>
            <w:shd w:val="clear" w:color="auto" w:fill="81C8C0"/>
          </w:tcPr>
          <w:p w:rsidR="00246768" w:rsidRPr="00AD2D58" w:rsidRDefault="00246768" w:rsidP="00246768">
            <w:pPr>
              <w:spacing w:line="240" w:lineRule="auto"/>
              <w:jc w:val="center"/>
              <w:rPr>
                <w:rFonts w:ascii="Marianne" w:hAnsi="Marianne"/>
                <w:b/>
              </w:rPr>
            </w:pPr>
          </w:p>
          <w:p w:rsidR="00246768" w:rsidRPr="00AD2D58" w:rsidRDefault="00246768" w:rsidP="00246768">
            <w:pPr>
              <w:spacing w:line="240" w:lineRule="auto"/>
              <w:jc w:val="center"/>
              <w:rPr>
                <w:rFonts w:ascii="Marianne" w:hAnsi="Marianne"/>
                <w:b/>
              </w:rPr>
            </w:pPr>
            <w:r>
              <w:rPr>
                <w:rFonts w:ascii="Marianne" w:hAnsi="Marianne"/>
                <w:b/>
              </w:rPr>
              <w:t>AVIS 5</w:t>
            </w:r>
            <w:r w:rsidRPr="00AD2D58">
              <w:rPr>
                <w:rFonts w:ascii="Marianne" w:hAnsi="Marianne"/>
                <w:b/>
              </w:rPr>
              <w:t xml:space="preserve"> adopté</w:t>
            </w:r>
          </w:p>
          <w:p w:rsidR="00246768" w:rsidRPr="00AD2D58" w:rsidRDefault="00246768" w:rsidP="00246768">
            <w:pPr>
              <w:spacing w:line="240" w:lineRule="auto"/>
              <w:jc w:val="center"/>
              <w:rPr>
                <w:rFonts w:ascii="Marianne" w:hAnsi="Marianne"/>
                <w:b/>
              </w:rPr>
            </w:pPr>
          </w:p>
        </w:tc>
        <w:tc>
          <w:tcPr>
            <w:tcW w:w="9213" w:type="dxa"/>
            <w:tcBorders>
              <w:top w:val="single" w:sz="4" w:space="0" w:color="auto"/>
              <w:left w:val="single" w:sz="4" w:space="0" w:color="auto"/>
              <w:bottom w:val="single" w:sz="4" w:space="0" w:color="auto"/>
              <w:right w:val="single" w:sz="4" w:space="0" w:color="auto"/>
            </w:tcBorders>
            <w:shd w:val="clear" w:color="auto" w:fill="81C8C0"/>
          </w:tcPr>
          <w:p w:rsidR="00246768" w:rsidRPr="00AD2D58" w:rsidRDefault="00246768" w:rsidP="00246768">
            <w:pPr>
              <w:spacing w:line="240" w:lineRule="auto"/>
              <w:jc w:val="center"/>
              <w:rPr>
                <w:rFonts w:ascii="Marianne" w:hAnsi="Marianne"/>
                <w:b/>
              </w:rPr>
            </w:pPr>
          </w:p>
          <w:p w:rsidR="00246768" w:rsidRPr="00AD2D58" w:rsidRDefault="00246768" w:rsidP="00246768">
            <w:pPr>
              <w:spacing w:line="240" w:lineRule="auto"/>
              <w:jc w:val="center"/>
              <w:rPr>
                <w:rFonts w:ascii="Marianne" w:hAnsi="Marianne"/>
                <w:b/>
              </w:rPr>
            </w:pPr>
            <w:r w:rsidRPr="00AD2D58">
              <w:rPr>
                <w:rFonts w:ascii="Marianne" w:hAnsi="Marianne"/>
                <w:b/>
              </w:rPr>
              <w:t>SUITES DONNÉES PAR L’ADMINISTRATION</w:t>
            </w:r>
          </w:p>
          <w:p w:rsidR="00246768" w:rsidRPr="00AD2D58" w:rsidRDefault="00246768" w:rsidP="00246768">
            <w:pPr>
              <w:spacing w:line="240" w:lineRule="auto"/>
              <w:jc w:val="center"/>
              <w:rPr>
                <w:rFonts w:ascii="Marianne" w:hAnsi="Marianne"/>
                <w:b/>
              </w:rPr>
            </w:pPr>
          </w:p>
        </w:tc>
      </w:tr>
      <w:tr w:rsidR="00246768" w:rsidTr="00214DFD">
        <w:trPr>
          <w:trHeight w:val="70"/>
        </w:trPr>
        <w:tc>
          <w:tcPr>
            <w:tcW w:w="4957" w:type="dxa"/>
            <w:tcBorders>
              <w:top w:val="single" w:sz="4" w:space="0" w:color="auto"/>
              <w:left w:val="single" w:sz="4" w:space="0" w:color="auto"/>
              <w:bottom w:val="single" w:sz="4" w:space="0" w:color="auto"/>
              <w:right w:val="single" w:sz="4" w:space="0" w:color="auto"/>
            </w:tcBorders>
          </w:tcPr>
          <w:p w:rsidR="00246768" w:rsidRPr="00F07F24" w:rsidRDefault="00246768" w:rsidP="00246768">
            <w:pPr>
              <w:spacing w:line="276" w:lineRule="auto"/>
              <w:jc w:val="both"/>
              <w:rPr>
                <w:rFonts w:ascii="Marianne" w:hAnsi="Marianne"/>
                <w:sz w:val="16"/>
                <w:szCs w:val="16"/>
              </w:rPr>
            </w:pPr>
          </w:p>
          <w:p w:rsidR="00246768" w:rsidRPr="00F07F24" w:rsidRDefault="00246768" w:rsidP="00246768">
            <w:pPr>
              <w:jc w:val="both"/>
              <w:rPr>
                <w:rFonts w:ascii="Marianne" w:hAnsi="Marianne"/>
                <w:i/>
                <w:sz w:val="16"/>
                <w:szCs w:val="16"/>
              </w:rPr>
            </w:pPr>
            <w:r w:rsidRPr="00F07F24">
              <w:rPr>
                <w:rFonts w:ascii="Marianne" w:hAnsi="Marianne"/>
                <w:i/>
                <w:sz w:val="16"/>
                <w:szCs w:val="16"/>
              </w:rPr>
              <w:t xml:space="preserve"> «</w:t>
            </w:r>
            <w:r w:rsidRPr="00F07F24">
              <w:rPr>
                <w:rFonts w:ascii="Calibri" w:hAnsi="Calibri" w:cs="Calibri"/>
                <w:i/>
                <w:sz w:val="16"/>
                <w:szCs w:val="16"/>
              </w:rPr>
              <w:t> </w:t>
            </w:r>
            <w:r w:rsidRPr="00F07F24">
              <w:rPr>
                <w:rFonts w:ascii="Marianne" w:hAnsi="Marianne"/>
                <w:i/>
                <w:sz w:val="16"/>
                <w:szCs w:val="16"/>
              </w:rPr>
              <w:t>Depuis de nombreuses semaines, les registres mentionnent de nombreuses situations liées à des comportements d'élèves à besoins éducatifs particuliers.</w:t>
            </w:r>
          </w:p>
          <w:p w:rsidR="00246768" w:rsidRPr="00F07F24" w:rsidRDefault="00246768" w:rsidP="00246768">
            <w:pPr>
              <w:jc w:val="both"/>
              <w:rPr>
                <w:rFonts w:ascii="Marianne" w:hAnsi="Marianne"/>
                <w:i/>
                <w:sz w:val="16"/>
                <w:szCs w:val="16"/>
              </w:rPr>
            </w:pPr>
            <w:r w:rsidRPr="00F07F24">
              <w:rPr>
                <w:rFonts w:ascii="Marianne" w:hAnsi="Marianne"/>
                <w:i/>
                <w:sz w:val="16"/>
                <w:szCs w:val="16"/>
              </w:rPr>
              <w:t xml:space="preserve">Souvent, il s'agit d'enfants ayant une notification MDPH. Néanmoins, malgré le déploiement des </w:t>
            </w:r>
            <w:proofErr w:type="spellStart"/>
            <w:r w:rsidRPr="00F07F24">
              <w:rPr>
                <w:rFonts w:ascii="Marianne" w:hAnsi="Marianne"/>
                <w:i/>
                <w:sz w:val="16"/>
                <w:szCs w:val="16"/>
              </w:rPr>
              <w:t>PIALs</w:t>
            </w:r>
            <w:proofErr w:type="spellEnd"/>
            <w:r w:rsidRPr="00F07F24">
              <w:rPr>
                <w:rFonts w:ascii="Marianne" w:hAnsi="Marianne"/>
                <w:i/>
                <w:sz w:val="16"/>
                <w:szCs w:val="16"/>
              </w:rPr>
              <w:t xml:space="preserve"> au niveau de l'Académie, force est de constater que les personnels AESH ne sont pas assez nombreux pour faire face au besoin.</w:t>
            </w:r>
          </w:p>
          <w:p w:rsidR="00246768" w:rsidRPr="00F07F24" w:rsidRDefault="00246768" w:rsidP="00246768">
            <w:pPr>
              <w:jc w:val="both"/>
              <w:rPr>
                <w:rFonts w:ascii="Marianne" w:hAnsi="Marianne"/>
                <w:i/>
                <w:sz w:val="16"/>
                <w:szCs w:val="16"/>
              </w:rPr>
            </w:pPr>
            <w:r w:rsidRPr="00F07F24">
              <w:rPr>
                <w:rFonts w:ascii="Marianne" w:hAnsi="Marianne"/>
                <w:i/>
                <w:sz w:val="16"/>
                <w:szCs w:val="16"/>
              </w:rPr>
              <w:t>Nous demandons donc, dans le cadre de la gestion des RPS liés à ces situations et des signalements nombreux d'enseignants en détresse, de procéder rapidement aux recrutements nécessaires d'AESH.</w:t>
            </w:r>
          </w:p>
          <w:p w:rsidR="00246768" w:rsidRPr="00F07F24" w:rsidRDefault="00246768" w:rsidP="00246768">
            <w:pPr>
              <w:jc w:val="both"/>
              <w:rPr>
                <w:rFonts w:ascii="Marianne" w:hAnsi="Marianne"/>
                <w:i/>
                <w:sz w:val="16"/>
                <w:szCs w:val="16"/>
              </w:rPr>
            </w:pPr>
            <w:r w:rsidRPr="00F07F24">
              <w:rPr>
                <w:rFonts w:ascii="Marianne" w:hAnsi="Marianne"/>
                <w:i/>
                <w:sz w:val="16"/>
                <w:szCs w:val="16"/>
              </w:rPr>
              <w:t>Nous demandons également un bilan chiffré de la situation actuelle (nombre d'enfants notifiés, par cycle et par répartition géographique, et nombre d'heures d'accompagnement notifiées), et le nombre d'AESH et nombres d'heures devant élèves sur ces mêmes zones géographiques, afin de pouvoir suivre l'évolution des recrutements demandés. »</w:t>
            </w:r>
          </w:p>
          <w:p w:rsidR="00246768" w:rsidRPr="00F07F24" w:rsidRDefault="00246768" w:rsidP="00246768">
            <w:pPr>
              <w:jc w:val="both"/>
              <w:rPr>
                <w:rFonts w:ascii="Marianne" w:hAnsi="Marianne"/>
                <w:sz w:val="16"/>
                <w:szCs w:val="16"/>
              </w:rPr>
            </w:pPr>
            <w:r w:rsidRPr="00F07F24">
              <w:rPr>
                <w:rFonts w:ascii="Marianne" w:hAnsi="Marianne"/>
                <w:i/>
                <w:sz w:val="16"/>
                <w:szCs w:val="16"/>
              </w:rPr>
              <w:t xml:space="preserve"> </w:t>
            </w:r>
          </w:p>
          <w:p w:rsidR="00246768" w:rsidRPr="00F07F24" w:rsidRDefault="00246768" w:rsidP="00246768">
            <w:pPr>
              <w:spacing w:line="276" w:lineRule="auto"/>
              <w:jc w:val="both"/>
              <w:rPr>
                <w:rFonts w:ascii="Marianne" w:hAnsi="Marianne"/>
                <w:i/>
                <w:sz w:val="16"/>
                <w:szCs w:val="16"/>
              </w:rPr>
            </w:pPr>
            <w:r w:rsidRPr="00F07F24">
              <w:rPr>
                <w:rFonts w:ascii="Marianne" w:hAnsi="Marianne"/>
                <w:i/>
                <w:sz w:val="16"/>
                <w:szCs w:val="16"/>
              </w:rPr>
              <w:t>Vote</w:t>
            </w:r>
            <w:r w:rsidRPr="00F07F24">
              <w:rPr>
                <w:rFonts w:ascii="Calibri" w:hAnsi="Calibri" w:cs="Calibri"/>
                <w:i/>
                <w:sz w:val="16"/>
                <w:szCs w:val="16"/>
              </w:rPr>
              <w:t> </w:t>
            </w:r>
            <w:r w:rsidRPr="00F07F24">
              <w:rPr>
                <w:rFonts w:ascii="Marianne" w:hAnsi="Marianne"/>
                <w:i/>
                <w:sz w:val="16"/>
                <w:szCs w:val="16"/>
              </w:rPr>
              <w:t>:  6 voix «</w:t>
            </w:r>
            <w:r w:rsidRPr="00F07F24">
              <w:rPr>
                <w:rFonts w:ascii="Calibri" w:hAnsi="Calibri" w:cs="Calibri"/>
                <w:i/>
                <w:sz w:val="16"/>
                <w:szCs w:val="16"/>
              </w:rPr>
              <w:t> </w:t>
            </w:r>
            <w:r w:rsidRPr="00F07F24">
              <w:rPr>
                <w:rFonts w:ascii="Marianne" w:hAnsi="Marianne"/>
                <w:i/>
                <w:sz w:val="16"/>
                <w:szCs w:val="16"/>
              </w:rPr>
              <w:t>pour</w:t>
            </w:r>
            <w:r w:rsidRPr="00F07F24">
              <w:rPr>
                <w:rFonts w:ascii="Calibri" w:hAnsi="Calibri" w:cs="Calibri"/>
                <w:i/>
                <w:sz w:val="16"/>
                <w:szCs w:val="16"/>
              </w:rPr>
              <w:t> </w:t>
            </w:r>
            <w:r w:rsidRPr="00F07F24">
              <w:rPr>
                <w:rFonts w:ascii="Marianne" w:hAnsi="Marianne" w:cs="Marianne"/>
                <w:i/>
                <w:sz w:val="16"/>
                <w:szCs w:val="16"/>
              </w:rPr>
              <w:t>»</w:t>
            </w:r>
            <w:r w:rsidRPr="00F07F24">
              <w:rPr>
                <w:rFonts w:ascii="Marianne" w:hAnsi="Marianne"/>
                <w:i/>
                <w:sz w:val="16"/>
                <w:szCs w:val="16"/>
              </w:rPr>
              <w:t>, aucune voix contre, aucune abstention</w:t>
            </w:r>
          </w:p>
          <w:p w:rsidR="00246768" w:rsidRPr="00F07F24" w:rsidRDefault="00246768" w:rsidP="00246768">
            <w:pPr>
              <w:spacing w:line="276" w:lineRule="auto"/>
              <w:jc w:val="both"/>
              <w:rPr>
                <w:rFonts w:ascii="Marianne" w:hAnsi="Marianne"/>
                <w:sz w:val="16"/>
                <w:szCs w:val="16"/>
              </w:rPr>
            </w:pPr>
          </w:p>
        </w:tc>
        <w:tc>
          <w:tcPr>
            <w:tcW w:w="9213" w:type="dxa"/>
            <w:tcBorders>
              <w:top w:val="single" w:sz="4" w:space="0" w:color="auto"/>
              <w:left w:val="single" w:sz="4" w:space="0" w:color="auto"/>
              <w:bottom w:val="single" w:sz="4" w:space="0" w:color="auto"/>
              <w:right w:val="single" w:sz="4" w:space="0" w:color="auto"/>
            </w:tcBorders>
          </w:tcPr>
          <w:p w:rsidR="00246768" w:rsidRPr="00F07F24" w:rsidRDefault="00246768" w:rsidP="00246768">
            <w:pPr>
              <w:spacing w:line="240" w:lineRule="auto"/>
              <w:jc w:val="both"/>
              <w:rPr>
                <w:rFonts w:ascii="Marianne" w:hAnsi="Marianne"/>
                <w:sz w:val="16"/>
                <w:szCs w:val="16"/>
              </w:rPr>
            </w:pPr>
          </w:p>
          <w:p w:rsidR="00246768" w:rsidRDefault="00246768" w:rsidP="00246768">
            <w:pPr>
              <w:autoSpaceDE w:val="0"/>
              <w:autoSpaceDN w:val="0"/>
              <w:adjustRightInd w:val="0"/>
              <w:spacing w:line="240" w:lineRule="auto"/>
              <w:rPr>
                <w:rFonts w:ascii="Marianne" w:hAnsi="Marianne" w:cs="Arial"/>
                <w:color w:val="000000"/>
                <w:sz w:val="16"/>
                <w:szCs w:val="16"/>
              </w:rPr>
            </w:pPr>
            <w:r w:rsidRPr="00F07F24">
              <w:rPr>
                <w:rFonts w:ascii="Marianne" w:hAnsi="Marianne" w:cs="Arial"/>
                <w:color w:val="000000"/>
                <w:sz w:val="16"/>
                <w:szCs w:val="16"/>
              </w:rPr>
              <w:t>Des réponses à ces questions ont été apportées en séance</w:t>
            </w:r>
            <w:r w:rsidR="00214DFD">
              <w:rPr>
                <w:rFonts w:ascii="Marianne" w:hAnsi="Marianne" w:cs="Arial"/>
                <w:color w:val="000000"/>
                <w:sz w:val="16"/>
                <w:szCs w:val="16"/>
              </w:rPr>
              <w:t>. Un bilan chiffré daté de décembre 2020 complète celles-ci dans les pages suivantes.</w:t>
            </w:r>
          </w:p>
          <w:p w:rsidR="00214DFD" w:rsidRPr="00F07F24" w:rsidRDefault="00214DFD" w:rsidP="00246768">
            <w:pPr>
              <w:autoSpaceDE w:val="0"/>
              <w:autoSpaceDN w:val="0"/>
              <w:adjustRightInd w:val="0"/>
              <w:spacing w:line="240" w:lineRule="auto"/>
              <w:rPr>
                <w:rFonts w:ascii="Marianne" w:hAnsi="Marianne" w:cs="Arial"/>
                <w:color w:val="000000"/>
                <w:sz w:val="16"/>
                <w:szCs w:val="16"/>
              </w:rPr>
            </w:pPr>
          </w:p>
          <w:p w:rsidR="00246768" w:rsidRDefault="00246768" w:rsidP="00246768">
            <w:pPr>
              <w:jc w:val="both"/>
              <w:rPr>
                <w:rFonts w:ascii="Marianne" w:hAnsi="Marianne" w:cs="TimesNewRomanPSMT"/>
                <w:sz w:val="16"/>
                <w:szCs w:val="16"/>
              </w:rPr>
            </w:pPr>
            <w:r>
              <w:rPr>
                <w:rFonts w:ascii="Marianne" w:hAnsi="Marianne" w:cs="TimesNewRomanPSMT"/>
                <w:sz w:val="16"/>
                <w:szCs w:val="16"/>
              </w:rPr>
              <w:t>«</w:t>
            </w:r>
            <w:r>
              <w:rPr>
                <w:rFonts w:ascii="Calibri" w:hAnsi="Calibri" w:cs="Calibri"/>
                <w:sz w:val="16"/>
                <w:szCs w:val="16"/>
              </w:rPr>
              <w:t> </w:t>
            </w:r>
            <w:r w:rsidRPr="00F07F24">
              <w:rPr>
                <w:rFonts w:ascii="Marianne" w:hAnsi="Marianne" w:cs="TimesNewRomanPSMT"/>
                <w:sz w:val="16"/>
                <w:szCs w:val="16"/>
              </w:rPr>
              <w:t>A ce jour, près de 21 000 élèves bénéficien</w:t>
            </w:r>
            <w:r>
              <w:rPr>
                <w:rFonts w:ascii="Marianne" w:hAnsi="Marianne" w:cs="TimesNewRomanPSMT"/>
                <w:sz w:val="16"/>
                <w:szCs w:val="16"/>
              </w:rPr>
              <w:t>t d’une prescription de la MDPH</w:t>
            </w:r>
            <w:r w:rsidRPr="00F07F24">
              <w:rPr>
                <w:rFonts w:ascii="Marianne" w:hAnsi="Marianne" w:cs="TimesNewRomanPSMT"/>
                <w:sz w:val="16"/>
                <w:szCs w:val="16"/>
              </w:rPr>
              <w:t xml:space="preserve"> et 98 à 98,5 % sont accompagnés. Un volant d’élèves en attente d’accompagnement subsiste en raison des prescriptions MDPH en cours d’année mais également du fait du grand nombre d'AESH en ASA (Autorisation spéciale d'absence). L’académie dispose de 4 316 ETP : 1 811 ETP pour des contrats en CDI (titre II), 2 505 ETP pour des contrats en CDD (hors-titre II). Ceci inclut les 40 postes supplémentaires attribués au 1er janvier 2021 ainsi que le transfert de 74 ETP du hors-titre II vers le titre II auquel le ministère a procédé au titre d’une régularisation des contingents de contrats hors titre II après six ans d’exercice. Ainsi, le taux d’accompagnement moyen, en dépit de la diversité des réalités que recouvre toute moyenne, s’établit dans l’académie à 4,8 élèves pour 1 AESH. Depuis le 1er septembre 2020, cet accompagnement est structuré en 190 PIAL (Pôles Inclusifs d’Accompagnement Localisés) qui couvrent l’intégralité du territoire. Conformément aux audiences syndicales AESH et intersyndicales antérieures, un bilan d’évaluation de ce nouveau dispositif est convenu d’ici la fin de l’année scolaire en vue de le parfaire pour la rentrée suivante. Plusieurs pistes de réflexion sont en cours ; une directrice académique a été recrutée pour coordonner ce travail avec les acteurs départementaux et académiques. La ventilation des moyens dont sont dotés les PIAL a dans son ensemble été conforme aux besoins identifiés. L’attribution </w:t>
            </w:r>
            <w:r>
              <w:rPr>
                <w:rFonts w:ascii="Marianne" w:hAnsi="Marianne" w:cs="TimesNewRomanPSMT"/>
                <w:sz w:val="16"/>
                <w:szCs w:val="16"/>
              </w:rPr>
              <w:t>en janvier 2021 de 40 ETP</w:t>
            </w:r>
            <w:r w:rsidRPr="00F07F24">
              <w:rPr>
                <w:rFonts w:ascii="Marianne" w:hAnsi="Marianne" w:cs="TimesNewRomanPSMT"/>
                <w:sz w:val="16"/>
                <w:szCs w:val="16"/>
              </w:rPr>
              <w:t xml:space="preserve"> supplémentaires permet</w:t>
            </w:r>
            <w:r w:rsidR="00711BD1" w:rsidRPr="00711BD1">
              <w:rPr>
                <w:rFonts w:ascii="Marianne" w:hAnsi="Marianne" w:cs="TimesNewRomanPSMT"/>
                <w:color w:val="FF0000"/>
                <w:sz w:val="16"/>
                <w:szCs w:val="16"/>
              </w:rPr>
              <w:t xml:space="preserve"> </w:t>
            </w:r>
            <w:r w:rsidRPr="00F07F24">
              <w:rPr>
                <w:rFonts w:ascii="Marianne" w:hAnsi="Marianne" w:cs="TimesNewRomanPSMT"/>
                <w:sz w:val="16"/>
                <w:szCs w:val="16"/>
              </w:rPr>
              <w:t>de réajuster à propos la dotation de certains PIAL dont les besoins réels se sont révélés plus importants que les estimations initiales. Ceci dans un souci d’équité mais sans désorganiser les dotations des autres PIAL, un transfert de poste d’AESH d’un PIAL vers un autre ne pouvant être décidé que marginalement, lorsqu’il advient qu’un tel poste devient vacant</w:t>
            </w:r>
            <w:bookmarkStart w:id="0" w:name="_GoBack"/>
            <w:bookmarkEnd w:id="0"/>
            <w:r w:rsidRPr="00F07F24">
              <w:rPr>
                <w:rFonts w:ascii="Marianne" w:hAnsi="Marianne" w:cs="TimesNewRomanPSMT"/>
                <w:sz w:val="16"/>
                <w:szCs w:val="16"/>
              </w:rPr>
              <w:t xml:space="preserve"> dans un PIAL excédentaire. Une nouvelle dotation est par ailleurs programmée par la loi de finance initiale du ministère qui prévoit pour la rentrée 2021 le recrutement de plus de 4 000 </w:t>
            </w:r>
            <w:r>
              <w:rPr>
                <w:rFonts w:ascii="Marianne" w:hAnsi="Marianne" w:cs="TimesNewRomanPSMT"/>
                <w:sz w:val="16"/>
                <w:szCs w:val="16"/>
              </w:rPr>
              <w:t>ETP</w:t>
            </w:r>
            <w:r w:rsidRPr="00F07F24">
              <w:rPr>
                <w:rFonts w:ascii="Marianne" w:hAnsi="Marianne" w:cs="TimesNewRomanPSMT"/>
                <w:sz w:val="16"/>
                <w:szCs w:val="16"/>
              </w:rPr>
              <w:t xml:space="preserve"> à l’échelle nationale. Sur un plan RH, un programme de formation continue à destination des AESH est à l’étude pour les accompagner au-delà de ce qui est statutairement prévu, notamment pour favoriser l’adaptation des méthodes des AESH amenés à intervenir dans le cadre du PIAL en service partagé entre premier et second degrés. Depuis quelques semaines, un réajustement salarial est mis en œuvre, de même que continue le dialogue avec les AESH visant à ajuster les nouvelles modalités de travail induites par la mise en place des PIAL et permettre l’acquisition dans de bonnes conditions des compétences exigibles au déploiement de leurs missions.</w:t>
            </w:r>
            <w:r>
              <w:rPr>
                <w:rFonts w:ascii="Calibri" w:hAnsi="Calibri" w:cs="Calibri"/>
                <w:sz w:val="16"/>
                <w:szCs w:val="16"/>
              </w:rPr>
              <w:t> </w:t>
            </w:r>
            <w:r>
              <w:rPr>
                <w:rFonts w:ascii="Marianne" w:hAnsi="Marianne" w:cs="Marianne"/>
                <w:sz w:val="16"/>
                <w:szCs w:val="16"/>
              </w:rPr>
              <w:t>»</w:t>
            </w:r>
          </w:p>
          <w:tbl>
            <w:tblPr>
              <w:tblW w:w="0" w:type="auto"/>
              <w:tblBorders>
                <w:top w:val="nil"/>
                <w:left w:val="nil"/>
                <w:bottom w:val="nil"/>
                <w:right w:val="nil"/>
              </w:tblBorders>
              <w:tblLook w:val="0000" w:firstRow="0" w:lastRow="0" w:firstColumn="0" w:lastColumn="0" w:noHBand="0" w:noVBand="0"/>
            </w:tblPr>
            <w:tblGrid>
              <w:gridCol w:w="222"/>
            </w:tblGrid>
            <w:tr w:rsidR="00246768" w:rsidRPr="00F07F24" w:rsidTr="004B539A">
              <w:trPr>
                <w:trHeight w:val="583"/>
              </w:trPr>
              <w:tc>
                <w:tcPr>
                  <w:tcW w:w="0" w:type="auto"/>
                </w:tcPr>
                <w:p w:rsidR="00246768" w:rsidRPr="00F07F24" w:rsidRDefault="00246768" w:rsidP="00B5781C">
                  <w:pPr>
                    <w:framePr w:hSpace="141" w:wrap="around" w:vAnchor="page" w:hAnchor="margin" w:y="2566"/>
                    <w:autoSpaceDE w:val="0"/>
                    <w:autoSpaceDN w:val="0"/>
                    <w:adjustRightInd w:val="0"/>
                    <w:spacing w:after="0" w:line="240" w:lineRule="auto"/>
                    <w:rPr>
                      <w:rFonts w:ascii="Marianne" w:hAnsi="Marianne" w:cs="Arial"/>
                      <w:sz w:val="16"/>
                      <w:szCs w:val="16"/>
                    </w:rPr>
                  </w:pPr>
                </w:p>
              </w:tc>
            </w:tr>
          </w:tbl>
          <w:p w:rsidR="00246768" w:rsidRPr="00F07F24" w:rsidRDefault="00246768" w:rsidP="00246768">
            <w:pPr>
              <w:spacing w:line="240" w:lineRule="auto"/>
              <w:jc w:val="both"/>
              <w:rPr>
                <w:rFonts w:ascii="Marianne" w:hAnsi="Marianne"/>
                <w:sz w:val="16"/>
                <w:szCs w:val="16"/>
              </w:rPr>
            </w:pPr>
          </w:p>
        </w:tc>
      </w:tr>
    </w:tbl>
    <w:p w:rsidR="00CD44A0" w:rsidRDefault="00103584" w:rsidP="00CD44A0">
      <w:pPr>
        <w:jc w:val="center"/>
        <w:rPr>
          <w:rFonts w:ascii="Marianne" w:hAnsi="Marianne" w:cs="Arial"/>
          <w:b/>
          <w:color w:val="187F9E"/>
        </w:rPr>
      </w:pPr>
      <w:proofErr w:type="gramStart"/>
      <w:r>
        <w:rPr>
          <w:rFonts w:ascii="Marianne" w:hAnsi="Marianne" w:cs="Arial"/>
          <w:b/>
          <w:color w:val="187F9E"/>
        </w:rPr>
        <w:t>l</w:t>
      </w:r>
      <w:r w:rsidR="00700D77" w:rsidRPr="00AD2D58">
        <w:rPr>
          <w:rFonts w:ascii="Marianne" w:hAnsi="Marianne" w:cs="Arial"/>
          <w:b/>
          <w:color w:val="187F9E"/>
        </w:rPr>
        <w:t>ors</w:t>
      </w:r>
      <w:proofErr w:type="gramEnd"/>
      <w:r w:rsidR="00CD44A0" w:rsidRPr="00AD2D58">
        <w:rPr>
          <w:rFonts w:ascii="Marianne" w:hAnsi="Marianne" w:cs="Arial"/>
          <w:b/>
          <w:color w:val="187F9E"/>
        </w:rPr>
        <w:t xml:space="preserve"> de la réunion du CHSCTA du </w:t>
      </w:r>
      <w:r w:rsidR="00496A5B">
        <w:rPr>
          <w:rFonts w:ascii="Marianne" w:hAnsi="Marianne" w:cs="Arial"/>
          <w:b/>
          <w:color w:val="187F9E"/>
        </w:rPr>
        <w:t xml:space="preserve">12 </w:t>
      </w:r>
      <w:r w:rsidR="004205AF">
        <w:rPr>
          <w:rFonts w:ascii="Marianne" w:hAnsi="Marianne" w:cs="Arial"/>
          <w:b/>
          <w:color w:val="187F9E"/>
        </w:rPr>
        <w:t>janvier 2021</w:t>
      </w:r>
    </w:p>
    <w:p w:rsidR="00246768" w:rsidRDefault="00246768" w:rsidP="00246768">
      <w:pPr>
        <w:rPr>
          <w:rFonts w:ascii="Marianne" w:hAnsi="Marianne" w:cs="Arial"/>
          <w:b/>
          <w:color w:val="187F9E"/>
        </w:rPr>
      </w:pPr>
    </w:p>
    <w:p w:rsidR="00FC517B" w:rsidRPr="00FC517B" w:rsidRDefault="00FC517B" w:rsidP="00246768">
      <w:pPr>
        <w:rPr>
          <w:rFonts w:ascii="Marianne" w:hAnsi="Marianne" w:cs="Arial"/>
          <w:b/>
          <w:color w:val="187F9E"/>
          <w:sz w:val="18"/>
          <w:szCs w:val="18"/>
        </w:rPr>
      </w:pPr>
      <w:r w:rsidRPr="00FC517B">
        <w:rPr>
          <w:rFonts w:ascii="Marianne" w:hAnsi="Marianne" w:cs="Arial"/>
          <w:b/>
          <w:color w:val="187F9E"/>
          <w:sz w:val="18"/>
          <w:szCs w:val="18"/>
        </w:rPr>
        <w:lastRenderedPageBreak/>
        <w:t>Recensement des besoins en matière d’accompagnement humain pour les élèves en situation de handicap (données extraites des enquêtes 3 et 12 pour l’année scolaire 2020-2021)</w:t>
      </w:r>
    </w:p>
    <w:p w:rsidR="00D03864" w:rsidRDefault="00246768" w:rsidP="00D03864">
      <w:pPr>
        <w:rPr>
          <w:rFonts w:ascii="Marianne" w:hAnsi="Marianne" w:cs="Arial"/>
          <w:b/>
          <w:color w:val="187F9E"/>
        </w:rPr>
      </w:pPr>
      <w:r w:rsidRPr="00246768">
        <w:rPr>
          <w:noProof/>
          <w:lang w:eastAsia="fr-FR"/>
        </w:rPr>
        <w:drawing>
          <wp:inline distT="0" distB="0" distL="0" distR="0">
            <wp:extent cx="7000875" cy="51469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1947" cy="5162407"/>
                    </a:xfrm>
                    <a:prstGeom prst="rect">
                      <a:avLst/>
                    </a:prstGeom>
                    <a:noFill/>
                    <a:ln>
                      <a:noFill/>
                    </a:ln>
                  </pic:spPr>
                </pic:pic>
              </a:graphicData>
            </a:graphic>
          </wp:inline>
        </w:drawing>
      </w:r>
    </w:p>
    <w:p w:rsidR="00D03864" w:rsidRDefault="00246768" w:rsidP="00D03864">
      <w:pPr>
        <w:rPr>
          <w:rFonts w:ascii="Marianne" w:hAnsi="Marianne" w:cs="Arial"/>
          <w:b/>
          <w:color w:val="187F9E"/>
        </w:rPr>
      </w:pPr>
      <w:r w:rsidRPr="00246768">
        <w:rPr>
          <w:noProof/>
          <w:lang w:eastAsia="fr-FR"/>
        </w:rPr>
        <w:lastRenderedPageBreak/>
        <w:drawing>
          <wp:inline distT="0" distB="0" distL="0" distR="0">
            <wp:extent cx="8892540" cy="4671446"/>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2540" cy="4671446"/>
                    </a:xfrm>
                    <a:prstGeom prst="rect">
                      <a:avLst/>
                    </a:prstGeom>
                    <a:noFill/>
                    <a:ln>
                      <a:noFill/>
                    </a:ln>
                  </pic:spPr>
                </pic:pic>
              </a:graphicData>
            </a:graphic>
          </wp:inline>
        </w:drawing>
      </w:r>
    </w:p>
    <w:p w:rsidR="00D03864" w:rsidRDefault="00D03864" w:rsidP="00D03864">
      <w:pPr>
        <w:rPr>
          <w:rFonts w:ascii="Marianne" w:hAnsi="Marianne" w:cs="Arial"/>
          <w:b/>
          <w:color w:val="187F9E"/>
        </w:rPr>
      </w:pPr>
    </w:p>
    <w:p w:rsidR="00D03864" w:rsidRDefault="00D03864" w:rsidP="00D03864">
      <w:pPr>
        <w:rPr>
          <w:rFonts w:ascii="Marianne" w:hAnsi="Marianne" w:cs="Arial"/>
          <w:b/>
          <w:color w:val="187F9E"/>
        </w:rPr>
      </w:pPr>
    </w:p>
    <w:p w:rsidR="00D03864" w:rsidRDefault="00D03864" w:rsidP="00D03864">
      <w:pPr>
        <w:rPr>
          <w:rFonts w:ascii="Marianne" w:hAnsi="Marianne" w:cs="Arial"/>
          <w:b/>
          <w:color w:val="187F9E"/>
        </w:rPr>
      </w:pPr>
    </w:p>
    <w:p w:rsidR="00D03864" w:rsidRDefault="00246768" w:rsidP="00D03864">
      <w:pPr>
        <w:rPr>
          <w:rFonts w:ascii="Marianne" w:hAnsi="Marianne" w:cs="Arial"/>
          <w:b/>
          <w:color w:val="187F9E"/>
        </w:rPr>
      </w:pPr>
      <w:r w:rsidRPr="00246768">
        <w:rPr>
          <w:noProof/>
          <w:lang w:eastAsia="fr-FR"/>
        </w:rPr>
        <w:lastRenderedPageBreak/>
        <w:drawing>
          <wp:inline distT="0" distB="0" distL="0" distR="0">
            <wp:extent cx="8892540" cy="5833959"/>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5833959"/>
                    </a:xfrm>
                    <a:prstGeom prst="rect">
                      <a:avLst/>
                    </a:prstGeom>
                    <a:noFill/>
                    <a:ln>
                      <a:noFill/>
                    </a:ln>
                  </pic:spPr>
                </pic:pic>
              </a:graphicData>
            </a:graphic>
          </wp:inline>
        </w:drawing>
      </w:r>
    </w:p>
    <w:p w:rsidR="00D03864" w:rsidRDefault="00D03864" w:rsidP="00D03864">
      <w:pPr>
        <w:rPr>
          <w:rFonts w:ascii="Marianne" w:hAnsi="Marianne" w:cs="Arial"/>
          <w:b/>
          <w:color w:val="187F9E"/>
        </w:rPr>
      </w:pPr>
    </w:p>
    <w:p w:rsidR="00D03864" w:rsidRDefault="00D03864" w:rsidP="00D03864">
      <w:pPr>
        <w:rPr>
          <w:rFonts w:ascii="Marianne" w:hAnsi="Marianne" w:cs="Arial"/>
          <w:b/>
          <w:color w:val="187F9E"/>
        </w:rPr>
      </w:pPr>
    </w:p>
    <w:p w:rsidR="00D03864" w:rsidRDefault="00246768" w:rsidP="00D03864">
      <w:pPr>
        <w:rPr>
          <w:rFonts w:ascii="Marianne" w:hAnsi="Marianne" w:cs="Arial"/>
          <w:b/>
          <w:color w:val="187F9E"/>
        </w:rPr>
      </w:pPr>
      <w:r w:rsidRPr="00246768">
        <w:rPr>
          <w:noProof/>
          <w:lang w:eastAsia="fr-FR"/>
        </w:rPr>
        <w:drawing>
          <wp:inline distT="0" distB="0" distL="0" distR="0">
            <wp:extent cx="8892540" cy="2626746"/>
            <wp:effectExtent l="0" t="0" r="381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2626746"/>
                    </a:xfrm>
                    <a:prstGeom prst="rect">
                      <a:avLst/>
                    </a:prstGeom>
                    <a:noFill/>
                    <a:ln>
                      <a:noFill/>
                    </a:ln>
                  </pic:spPr>
                </pic:pic>
              </a:graphicData>
            </a:graphic>
          </wp:inline>
        </w:drawing>
      </w:r>
    </w:p>
    <w:p w:rsidR="00D03864" w:rsidRDefault="00D03864" w:rsidP="00D03864">
      <w:pPr>
        <w:rPr>
          <w:rFonts w:ascii="Marianne" w:hAnsi="Marianne" w:cs="Arial"/>
          <w:b/>
          <w:color w:val="187F9E"/>
        </w:rPr>
      </w:pPr>
    </w:p>
    <w:p w:rsidR="00D03864" w:rsidRDefault="00D03864" w:rsidP="00D03864">
      <w:pPr>
        <w:rPr>
          <w:rFonts w:ascii="Marianne" w:hAnsi="Marianne" w:cs="Arial"/>
          <w:b/>
          <w:color w:val="187F9E"/>
        </w:rPr>
      </w:pPr>
    </w:p>
    <w:p w:rsidR="00D03864" w:rsidRDefault="00D03864" w:rsidP="00D03864">
      <w:pPr>
        <w:rPr>
          <w:rFonts w:ascii="Marianne" w:hAnsi="Marianne" w:cs="Arial"/>
          <w:b/>
          <w:color w:val="187F9E"/>
        </w:rPr>
      </w:pPr>
    </w:p>
    <w:p w:rsidR="00246768" w:rsidRDefault="00246768" w:rsidP="00D03864">
      <w:pPr>
        <w:rPr>
          <w:rFonts w:ascii="Marianne" w:hAnsi="Marianne" w:cs="Arial"/>
          <w:b/>
          <w:color w:val="187F9E"/>
        </w:rPr>
      </w:pPr>
    </w:p>
    <w:p w:rsidR="00246768" w:rsidRDefault="00246768" w:rsidP="00D03864">
      <w:pPr>
        <w:rPr>
          <w:rFonts w:ascii="Marianne" w:hAnsi="Marianne" w:cs="Arial"/>
          <w:b/>
          <w:color w:val="187F9E"/>
        </w:rPr>
      </w:pPr>
    </w:p>
    <w:p w:rsidR="00246768" w:rsidRDefault="00246768" w:rsidP="00D03864">
      <w:pPr>
        <w:rPr>
          <w:rFonts w:ascii="Marianne" w:hAnsi="Marianne" w:cs="Arial"/>
          <w:b/>
          <w:color w:val="187F9E"/>
        </w:rPr>
      </w:pPr>
    </w:p>
    <w:p w:rsidR="00246768" w:rsidRDefault="00246768" w:rsidP="00D03864">
      <w:pPr>
        <w:rPr>
          <w:rFonts w:ascii="Marianne" w:hAnsi="Marianne" w:cs="Arial"/>
          <w:b/>
          <w:color w:val="187F9E"/>
        </w:rPr>
      </w:pPr>
    </w:p>
    <w:p w:rsidR="00246768" w:rsidRDefault="00246768" w:rsidP="00D03864">
      <w:pPr>
        <w:rPr>
          <w:rFonts w:ascii="Marianne" w:hAnsi="Marianne" w:cs="Arial"/>
          <w:b/>
          <w:color w:val="187F9E"/>
        </w:rPr>
      </w:pPr>
    </w:p>
    <w:p w:rsidR="00214DFD" w:rsidRDefault="00214DFD" w:rsidP="00D03864">
      <w:pPr>
        <w:rPr>
          <w:rFonts w:ascii="Marianne" w:hAnsi="Marianne" w:cs="Arial"/>
          <w:b/>
          <w:color w:val="187F9E"/>
        </w:rPr>
      </w:pPr>
    </w:p>
    <w:p w:rsidR="00FC517B" w:rsidRPr="00FC517B" w:rsidRDefault="00FC517B" w:rsidP="00FC517B">
      <w:pPr>
        <w:rPr>
          <w:rFonts w:ascii="Marianne" w:hAnsi="Marianne" w:cs="Arial"/>
          <w:b/>
          <w:color w:val="187F9E"/>
          <w:sz w:val="18"/>
          <w:szCs w:val="18"/>
        </w:rPr>
      </w:pPr>
      <w:r w:rsidRPr="00FC517B">
        <w:rPr>
          <w:rFonts w:ascii="Marianne" w:hAnsi="Marianne" w:cs="Arial"/>
          <w:b/>
          <w:color w:val="187F9E"/>
          <w:sz w:val="18"/>
          <w:szCs w:val="18"/>
        </w:rPr>
        <w:lastRenderedPageBreak/>
        <w:t xml:space="preserve">Recensement </w:t>
      </w:r>
      <w:r w:rsidR="00625433">
        <w:rPr>
          <w:rFonts w:ascii="Marianne" w:hAnsi="Marianne" w:cs="Arial"/>
          <w:b/>
          <w:color w:val="187F9E"/>
          <w:sz w:val="18"/>
          <w:szCs w:val="18"/>
        </w:rPr>
        <w:t>de</w:t>
      </w:r>
      <w:r w:rsidR="00625433" w:rsidRPr="00FC517B">
        <w:rPr>
          <w:rFonts w:ascii="Marianne" w:hAnsi="Marianne" w:cs="Arial"/>
          <w:b/>
          <w:color w:val="187F9E"/>
          <w:sz w:val="18"/>
          <w:szCs w:val="18"/>
        </w:rPr>
        <w:t xml:space="preserve">s élèves en situation de handicap </w:t>
      </w:r>
      <w:r w:rsidR="00625433">
        <w:rPr>
          <w:rFonts w:ascii="Marianne" w:hAnsi="Marianne" w:cs="Arial"/>
          <w:b/>
          <w:color w:val="187F9E"/>
          <w:sz w:val="18"/>
          <w:szCs w:val="18"/>
        </w:rPr>
        <w:t>accompagnés par un AESH</w:t>
      </w:r>
      <w:r w:rsidRPr="00FC517B">
        <w:rPr>
          <w:rFonts w:ascii="Marianne" w:hAnsi="Marianne" w:cs="Arial"/>
          <w:b/>
          <w:color w:val="187F9E"/>
          <w:sz w:val="18"/>
          <w:szCs w:val="18"/>
        </w:rPr>
        <w:t xml:space="preserve"> (données extraites de</w:t>
      </w:r>
      <w:r w:rsidR="00625433">
        <w:rPr>
          <w:rFonts w:ascii="Marianne" w:hAnsi="Marianne" w:cs="Arial"/>
          <w:b/>
          <w:color w:val="187F9E"/>
          <w:sz w:val="18"/>
          <w:szCs w:val="18"/>
        </w:rPr>
        <w:t xml:space="preserve"> l’enquête trimestrielle – décembre 2020</w:t>
      </w:r>
    </w:p>
    <w:p w:rsidR="00214DFD" w:rsidRDefault="00214DFD" w:rsidP="00D03864">
      <w:pPr>
        <w:rPr>
          <w:rFonts w:ascii="Marianne" w:hAnsi="Marianne" w:cs="Arial"/>
          <w:b/>
          <w:color w:val="187F9E"/>
        </w:rPr>
      </w:pPr>
      <w:r>
        <w:rPr>
          <w:rFonts w:ascii="Marianne" w:hAnsi="Marianne" w:cs="Arial"/>
          <w:b/>
          <w:color w:val="187F9E"/>
        </w:rPr>
        <w:t>Accompagnement individuel</w:t>
      </w:r>
    </w:p>
    <w:p w:rsidR="00214DFD" w:rsidRDefault="00214DFD" w:rsidP="00D03864">
      <w:pPr>
        <w:rPr>
          <w:rFonts w:ascii="Marianne" w:hAnsi="Marianne" w:cs="Arial"/>
          <w:b/>
          <w:color w:val="187F9E"/>
        </w:rPr>
      </w:pPr>
      <w:r>
        <w:rPr>
          <w:rFonts w:ascii="Marianne" w:hAnsi="Marianne" w:cs="Arial"/>
          <w:b/>
          <w:noProof/>
          <w:color w:val="187F9E"/>
          <w:lang w:eastAsia="fr-FR"/>
        </w:rPr>
        <w:drawing>
          <wp:inline distT="0" distB="0" distL="0" distR="0" wp14:anchorId="63FA2620">
            <wp:extent cx="6041390" cy="208470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1390" cy="2084705"/>
                    </a:xfrm>
                    <a:prstGeom prst="rect">
                      <a:avLst/>
                    </a:prstGeom>
                    <a:noFill/>
                  </pic:spPr>
                </pic:pic>
              </a:graphicData>
            </a:graphic>
          </wp:inline>
        </w:drawing>
      </w:r>
    </w:p>
    <w:p w:rsidR="00214DFD" w:rsidRDefault="00214DFD" w:rsidP="00D03864">
      <w:pPr>
        <w:rPr>
          <w:rFonts w:ascii="Marianne" w:hAnsi="Marianne" w:cs="Arial"/>
          <w:b/>
          <w:color w:val="187F9E"/>
        </w:rPr>
      </w:pPr>
    </w:p>
    <w:p w:rsidR="00246768" w:rsidRDefault="00214DFD" w:rsidP="00D03864">
      <w:pPr>
        <w:rPr>
          <w:rFonts w:ascii="Marianne" w:hAnsi="Marianne" w:cs="Arial"/>
          <w:b/>
          <w:color w:val="187F9E"/>
        </w:rPr>
      </w:pPr>
      <w:r>
        <w:rPr>
          <w:rFonts w:ascii="Marianne" w:hAnsi="Marianne" w:cs="Arial"/>
          <w:b/>
          <w:color w:val="187F9E"/>
        </w:rPr>
        <w:t>Accompagnement mutualisé</w:t>
      </w:r>
    </w:p>
    <w:p w:rsidR="002F2D87" w:rsidRDefault="002F2D87" w:rsidP="00D03864">
      <w:pPr>
        <w:rPr>
          <w:rFonts w:ascii="Marianne" w:hAnsi="Marianne" w:cs="Arial"/>
          <w:b/>
          <w:color w:val="187F9E"/>
        </w:rPr>
      </w:pPr>
      <w:r w:rsidRPr="00016D0A">
        <w:rPr>
          <w:rFonts w:ascii="Marianne" w:hAnsi="Marianne" w:cs="Arial"/>
          <w:b/>
          <w:noProof/>
          <w:color w:val="187F9E"/>
          <w:lang w:eastAsia="fr-FR"/>
        </w:rPr>
        <w:drawing>
          <wp:inline distT="0" distB="0" distL="0" distR="0" wp14:anchorId="42670C06" wp14:editId="06452996">
            <wp:extent cx="6411220" cy="2029108"/>
            <wp:effectExtent l="0" t="0" r="889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11220" cy="2029108"/>
                    </a:xfrm>
                    <a:prstGeom prst="rect">
                      <a:avLst/>
                    </a:prstGeom>
                  </pic:spPr>
                </pic:pic>
              </a:graphicData>
            </a:graphic>
          </wp:inline>
        </w:drawing>
      </w:r>
    </w:p>
    <w:p w:rsidR="00D03864" w:rsidRDefault="00D03864" w:rsidP="00D03864">
      <w:pPr>
        <w:rPr>
          <w:rFonts w:ascii="Marianne" w:hAnsi="Marianne" w:cs="Arial"/>
          <w:b/>
          <w:color w:val="187F9E"/>
        </w:rPr>
      </w:pPr>
    </w:p>
    <w:sectPr w:rsidR="00D03864" w:rsidSect="00CD44A0">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8A" w:rsidRDefault="00102F8A" w:rsidP="00CD44A0">
      <w:pPr>
        <w:spacing w:after="0" w:line="240" w:lineRule="auto"/>
      </w:pPr>
      <w:r>
        <w:separator/>
      </w:r>
    </w:p>
  </w:endnote>
  <w:endnote w:type="continuationSeparator" w:id="0">
    <w:p w:rsidR="00102F8A" w:rsidRDefault="00102F8A" w:rsidP="00CD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2FF" w:usb1="5000205B" w:usb2="0000002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A0" w:rsidRDefault="00CD44A0">
    <w:pPr>
      <w:pStyle w:val="Pieddepage"/>
    </w:pPr>
    <w:r>
      <w:t>Académie de Lyon</w:t>
    </w:r>
    <w:r>
      <w:ptab w:relativeTo="margin" w:alignment="center" w:leader="none"/>
    </w:r>
    <w:r>
      <w:t>Pôle RH - CPA</w:t>
    </w:r>
    <w:r>
      <w:ptab w:relativeTo="margin" w:alignment="right" w:leader="none"/>
    </w:r>
    <w:r w:rsidR="00103584">
      <w:rPr>
        <w:b/>
      </w:rPr>
      <w:t xml:space="preserve">Avis publié </w:t>
    </w:r>
    <w:r w:rsidR="00D03864">
      <w:rPr>
        <w:b/>
      </w:rPr>
      <w:t xml:space="preserve">avec réponse </w:t>
    </w:r>
    <w:r w:rsidR="00103584">
      <w:rPr>
        <w:b/>
      </w:rPr>
      <w:t xml:space="preserve">le </w:t>
    </w:r>
    <w:r w:rsidR="00B5781C">
      <w:rPr>
        <w:b/>
      </w:rPr>
      <w:t>24</w:t>
    </w:r>
    <w:r w:rsidR="00D03864">
      <w:rPr>
        <w:b/>
      </w:rPr>
      <w:t xml:space="preserve"> février</w:t>
    </w:r>
    <w:r w:rsidR="004205AF">
      <w:rPr>
        <w:b/>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8A" w:rsidRDefault="00102F8A" w:rsidP="00CD44A0">
      <w:pPr>
        <w:spacing w:after="0" w:line="240" w:lineRule="auto"/>
      </w:pPr>
      <w:r>
        <w:separator/>
      </w:r>
    </w:p>
  </w:footnote>
  <w:footnote w:type="continuationSeparator" w:id="0">
    <w:p w:rsidR="00102F8A" w:rsidRDefault="00102F8A" w:rsidP="00CD4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9C8"/>
    <w:multiLevelType w:val="hybridMultilevel"/>
    <w:tmpl w:val="3E70D1D6"/>
    <w:lvl w:ilvl="0" w:tplc="C3C857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3163D9"/>
    <w:multiLevelType w:val="hybridMultilevel"/>
    <w:tmpl w:val="CCC4FF52"/>
    <w:lvl w:ilvl="0" w:tplc="71E82DDC">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F81BC9"/>
    <w:multiLevelType w:val="hybridMultilevel"/>
    <w:tmpl w:val="B12A3188"/>
    <w:lvl w:ilvl="0" w:tplc="F53C8674">
      <w:numFmt w:val="bullet"/>
      <w:lvlText w:val="-"/>
      <w:lvlJc w:val="left"/>
      <w:pPr>
        <w:ind w:left="720" w:hanging="360"/>
      </w:pPr>
      <w:rPr>
        <w:rFonts w:ascii="Roboto" w:eastAsiaTheme="minorHAnsi" w:hAnsi="Roboto"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480745"/>
    <w:multiLevelType w:val="hybridMultilevel"/>
    <w:tmpl w:val="14B853F4"/>
    <w:lvl w:ilvl="0" w:tplc="5E44E21E">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8F5852"/>
    <w:multiLevelType w:val="multilevel"/>
    <w:tmpl w:val="397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E5D84"/>
    <w:multiLevelType w:val="hybridMultilevel"/>
    <w:tmpl w:val="C6D8F194"/>
    <w:lvl w:ilvl="0" w:tplc="E304D4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4AB1471"/>
    <w:multiLevelType w:val="hybridMultilevel"/>
    <w:tmpl w:val="B62894DE"/>
    <w:lvl w:ilvl="0" w:tplc="72467068">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A1"/>
    <w:rsid w:val="000013E6"/>
    <w:rsid w:val="00005399"/>
    <w:rsid w:val="00017044"/>
    <w:rsid w:val="00023F41"/>
    <w:rsid w:val="00025321"/>
    <w:rsid w:val="00031D49"/>
    <w:rsid w:val="00040A0E"/>
    <w:rsid w:val="00094776"/>
    <w:rsid w:val="000A33EE"/>
    <w:rsid w:val="000B219B"/>
    <w:rsid w:val="000D64F7"/>
    <w:rsid w:val="00102F8A"/>
    <w:rsid w:val="00103584"/>
    <w:rsid w:val="00134863"/>
    <w:rsid w:val="00142B7D"/>
    <w:rsid w:val="001559BC"/>
    <w:rsid w:val="00191231"/>
    <w:rsid w:val="00197C7D"/>
    <w:rsid w:val="001B33DC"/>
    <w:rsid w:val="001C1695"/>
    <w:rsid w:val="001E70F6"/>
    <w:rsid w:val="001F37E8"/>
    <w:rsid w:val="00213288"/>
    <w:rsid w:val="00214DFD"/>
    <w:rsid w:val="00246768"/>
    <w:rsid w:val="00271515"/>
    <w:rsid w:val="002A6F0C"/>
    <w:rsid w:val="002C1EA5"/>
    <w:rsid w:val="002F2D87"/>
    <w:rsid w:val="00304BD8"/>
    <w:rsid w:val="00310E3D"/>
    <w:rsid w:val="00314DDD"/>
    <w:rsid w:val="0031532B"/>
    <w:rsid w:val="003235BA"/>
    <w:rsid w:val="00371F2D"/>
    <w:rsid w:val="00385330"/>
    <w:rsid w:val="00385AEB"/>
    <w:rsid w:val="003A65F0"/>
    <w:rsid w:val="003D34C8"/>
    <w:rsid w:val="004205AF"/>
    <w:rsid w:val="00420F63"/>
    <w:rsid w:val="004563E7"/>
    <w:rsid w:val="00463C50"/>
    <w:rsid w:val="00496A5B"/>
    <w:rsid w:val="004B27B6"/>
    <w:rsid w:val="00550269"/>
    <w:rsid w:val="00571D0B"/>
    <w:rsid w:val="00574B30"/>
    <w:rsid w:val="005B38C2"/>
    <w:rsid w:val="005E2B9F"/>
    <w:rsid w:val="006050AF"/>
    <w:rsid w:val="00625433"/>
    <w:rsid w:val="00634150"/>
    <w:rsid w:val="00645AFF"/>
    <w:rsid w:val="00645C3A"/>
    <w:rsid w:val="00645E86"/>
    <w:rsid w:val="006C4BA5"/>
    <w:rsid w:val="00700D77"/>
    <w:rsid w:val="00711BD1"/>
    <w:rsid w:val="007832C1"/>
    <w:rsid w:val="007859E8"/>
    <w:rsid w:val="00791EA5"/>
    <w:rsid w:val="007F7127"/>
    <w:rsid w:val="00802A82"/>
    <w:rsid w:val="0080678F"/>
    <w:rsid w:val="00837986"/>
    <w:rsid w:val="008500C0"/>
    <w:rsid w:val="008B4B59"/>
    <w:rsid w:val="008B5F58"/>
    <w:rsid w:val="008E0F2B"/>
    <w:rsid w:val="00951356"/>
    <w:rsid w:val="009533D4"/>
    <w:rsid w:val="00972E39"/>
    <w:rsid w:val="0097581F"/>
    <w:rsid w:val="00977CF7"/>
    <w:rsid w:val="00983BDB"/>
    <w:rsid w:val="009A12D6"/>
    <w:rsid w:val="009A17C6"/>
    <w:rsid w:val="009B3444"/>
    <w:rsid w:val="00A278D3"/>
    <w:rsid w:val="00A3378A"/>
    <w:rsid w:val="00A37E5C"/>
    <w:rsid w:val="00A40566"/>
    <w:rsid w:val="00A647A1"/>
    <w:rsid w:val="00AA2169"/>
    <w:rsid w:val="00AB0AA3"/>
    <w:rsid w:val="00AB28E4"/>
    <w:rsid w:val="00AD2D58"/>
    <w:rsid w:val="00AE2A00"/>
    <w:rsid w:val="00AE2B83"/>
    <w:rsid w:val="00B00D1E"/>
    <w:rsid w:val="00B02A35"/>
    <w:rsid w:val="00B31CC2"/>
    <w:rsid w:val="00B5781C"/>
    <w:rsid w:val="00B81C07"/>
    <w:rsid w:val="00BA2FE6"/>
    <w:rsid w:val="00BF1FBD"/>
    <w:rsid w:val="00C07AC3"/>
    <w:rsid w:val="00C1347B"/>
    <w:rsid w:val="00C2461D"/>
    <w:rsid w:val="00C415C0"/>
    <w:rsid w:val="00C4166C"/>
    <w:rsid w:val="00C56A8C"/>
    <w:rsid w:val="00C63A57"/>
    <w:rsid w:val="00C72D02"/>
    <w:rsid w:val="00C80954"/>
    <w:rsid w:val="00CB5595"/>
    <w:rsid w:val="00CD44A0"/>
    <w:rsid w:val="00CE4811"/>
    <w:rsid w:val="00D03864"/>
    <w:rsid w:val="00D20E82"/>
    <w:rsid w:val="00D25E71"/>
    <w:rsid w:val="00D26CCD"/>
    <w:rsid w:val="00D30504"/>
    <w:rsid w:val="00D436B3"/>
    <w:rsid w:val="00D62BBB"/>
    <w:rsid w:val="00D7753D"/>
    <w:rsid w:val="00D96CE8"/>
    <w:rsid w:val="00DA680B"/>
    <w:rsid w:val="00DC424A"/>
    <w:rsid w:val="00DF26D3"/>
    <w:rsid w:val="00E11ADA"/>
    <w:rsid w:val="00E3257E"/>
    <w:rsid w:val="00E54475"/>
    <w:rsid w:val="00E641A3"/>
    <w:rsid w:val="00E83E31"/>
    <w:rsid w:val="00E928D1"/>
    <w:rsid w:val="00EC31F6"/>
    <w:rsid w:val="00EE49B2"/>
    <w:rsid w:val="00EF793F"/>
    <w:rsid w:val="00F0436C"/>
    <w:rsid w:val="00F07F24"/>
    <w:rsid w:val="00F201DE"/>
    <w:rsid w:val="00F348BB"/>
    <w:rsid w:val="00F371F2"/>
    <w:rsid w:val="00F42ABE"/>
    <w:rsid w:val="00F57D47"/>
    <w:rsid w:val="00F6111A"/>
    <w:rsid w:val="00F71887"/>
    <w:rsid w:val="00F747AC"/>
    <w:rsid w:val="00F75E15"/>
    <w:rsid w:val="00FA0D17"/>
    <w:rsid w:val="00FB4502"/>
    <w:rsid w:val="00FC4708"/>
    <w:rsid w:val="00FC5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9C2C1"/>
  <w15:chartTrackingRefBased/>
  <w15:docId w15:val="{7C3BC58B-A577-47FD-8F47-DC3CF092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4A0"/>
    <w:pPr>
      <w:spacing w:line="256" w:lineRule="auto"/>
    </w:pPr>
  </w:style>
  <w:style w:type="paragraph" w:styleId="Titre2">
    <w:name w:val="heading 2"/>
    <w:basedOn w:val="Normal"/>
    <w:next w:val="Normal"/>
    <w:link w:val="Titre2Car"/>
    <w:uiPriority w:val="9"/>
    <w:semiHidden/>
    <w:unhideWhenUsed/>
    <w:qFormat/>
    <w:rsid w:val="00E641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641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1C16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D44A0"/>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CD44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44A0"/>
    <w:pPr>
      <w:tabs>
        <w:tab w:val="center" w:pos="4536"/>
        <w:tab w:val="right" w:pos="9072"/>
      </w:tabs>
      <w:spacing w:after="0" w:line="240" w:lineRule="auto"/>
    </w:pPr>
  </w:style>
  <w:style w:type="character" w:customStyle="1" w:styleId="En-tteCar">
    <w:name w:val="En-tête Car"/>
    <w:basedOn w:val="Policepardfaut"/>
    <w:link w:val="En-tte"/>
    <w:uiPriority w:val="99"/>
    <w:rsid w:val="00CD44A0"/>
  </w:style>
  <w:style w:type="paragraph" w:styleId="Pieddepage">
    <w:name w:val="footer"/>
    <w:basedOn w:val="Normal"/>
    <w:link w:val="PieddepageCar"/>
    <w:uiPriority w:val="99"/>
    <w:unhideWhenUsed/>
    <w:rsid w:val="00CD4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44A0"/>
  </w:style>
  <w:style w:type="character" w:styleId="Lienhypertexte">
    <w:name w:val="Hyperlink"/>
    <w:basedOn w:val="Policepardfaut"/>
    <w:uiPriority w:val="99"/>
    <w:unhideWhenUsed/>
    <w:rsid w:val="00FC4708"/>
    <w:rPr>
      <w:color w:val="0563C1" w:themeColor="hyperlink"/>
      <w:u w:val="single"/>
    </w:rPr>
  </w:style>
  <w:style w:type="paragraph" w:styleId="NormalWeb">
    <w:name w:val="Normal (Web)"/>
    <w:basedOn w:val="Normal"/>
    <w:uiPriority w:val="99"/>
    <w:semiHidden/>
    <w:unhideWhenUsed/>
    <w:rsid w:val="00FC47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avant">
    <w:name w:val="en_avant"/>
    <w:basedOn w:val="Normal"/>
    <w:rsid w:val="00FC47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1695"/>
    <w:pPr>
      <w:ind w:left="720"/>
      <w:contextualSpacing/>
    </w:pPr>
  </w:style>
  <w:style w:type="character" w:customStyle="1" w:styleId="Titre4Car">
    <w:name w:val="Titre 4 Car"/>
    <w:basedOn w:val="Policepardfaut"/>
    <w:link w:val="Titre4"/>
    <w:uiPriority w:val="9"/>
    <w:semiHidden/>
    <w:rsid w:val="001C1695"/>
    <w:rPr>
      <w:rFonts w:asciiTheme="majorHAnsi" w:eastAsiaTheme="majorEastAsia" w:hAnsiTheme="majorHAnsi" w:cstheme="majorBidi"/>
      <w:i/>
      <w:iCs/>
      <w:color w:val="2E74B5" w:themeColor="accent1" w:themeShade="BF"/>
    </w:rPr>
  </w:style>
  <w:style w:type="character" w:customStyle="1" w:styleId="Titre2Car">
    <w:name w:val="Titre 2 Car"/>
    <w:basedOn w:val="Policepardfaut"/>
    <w:link w:val="Titre2"/>
    <w:uiPriority w:val="9"/>
    <w:semiHidden/>
    <w:rsid w:val="00E641A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E641A3"/>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C4166C"/>
    <w:rPr>
      <w:b/>
      <w:bCs/>
    </w:rPr>
  </w:style>
  <w:style w:type="character" w:customStyle="1" w:styleId="A4">
    <w:name w:val="A4"/>
    <w:uiPriority w:val="99"/>
    <w:rsid w:val="00304BD8"/>
    <w:rPr>
      <w:rFonts w:cs="Mariann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409">
      <w:bodyDiv w:val="1"/>
      <w:marLeft w:val="0"/>
      <w:marRight w:val="0"/>
      <w:marTop w:val="0"/>
      <w:marBottom w:val="0"/>
      <w:divBdr>
        <w:top w:val="none" w:sz="0" w:space="0" w:color="auto"/>
        <w:left w:val="none" w:sz="0" w:space="0" w:color="auto"/>
        <w:bottom w:val="none" w:sz="0" w:space="0" w:color="auto"/>
        <w:right w:val="none" w:sz="0" w:space="0" w:color="auto"/>
      </w:divBdr>
    </w:div>
    <w:div w:id="655767932">
      <w:bodyDiv w:val="1"/>
      <w:marLeft w:val="0"/>
      <w:marRight w:val="0"/>
      <w:marTop w:val="0"/>
      <w:marBottom w:val="0"/>
      <w:divBdr>
        <w:top w:val="none" w:sz="0" w:space="0" w:color="auto"/>
        <w:left w:val="none" w:sz="0" w:space="0" w:color="auto"/>
        <w:bottom w:val="none" w:sz="0" w:space="0" w:color="auto"/>
        <w:right w:val="none" w:sz="0" w:space="0" w:color="auto"/>
      </w:divBdr>
      <w:divsChild>
        <w:div w:id="375397943">
          <w:marLeft w:val="0"/>
          <w:marRight w:val="0"/>
          <w:marTop w:val="0"/>
          <w:marBottom w:val="0"/>
          <w:divBdr>
            <w:top w:val="none" w:sz="0" w:space="0" w:color="auto"/>
            <w:left w:val="none" w:sz="0" w:space="0" w:color="auto"/>
            <w:bottom w:val="none" w:sz="0" w:space="0" w:color="auto"/>
            <w:right w:val="none" w:sz="0" w:space="0" w:color="auto"/>
          </w:divBdr>
        </w:div>
      </w:divsChild>
    </w:div>
    <w:div w:id="1032027806">
      <w:bodyDiv w:val="1"/>
      <w:marLeft w:val="0"/>
      <w:marRight w:val="0"/>
      <w:marTop w:val="0"/>
      <w:marBottom w:val="0"/>
      <w:divBdr>
        <w:top w:val="none" w:sz="0" w:space="0" w:color="auto"/>
        <w:left w:val="none" w:sz="0" w:space="0" w:color="auto"/>
        <w:bottom w:val="none" w:sz="0" w:space="0" w:color="auto"/>
        <w:right w:val="none" w:sz="0" w:space="0" w:color="auto"/>
      </w:divBdr>
    </w:div>
    <w:div w:id="1052801672">
      <w:bodyDiv w:val="1"/>
      <w:marLeft w:val="0"/>
      <w:marRight w:val="0"/>
      <w:marTop w:val="0"/>
      <w:marBottom w:val="0"/>
      <w:divBdr>
        <w:top w:val="none" w:sz="0" w:space="0" w:color="auto"/>
        <w:left w:val="none" w:sz="0" w:space="0" w:color="auto"/>
        <w:bottom w:val="none" w:sz="0" w:space="0" w:color="auto"/>
        <w:right w:val="none" w:sz="0" w:space="0" w:color="auto"/>
      </w:divBdr>
    </w:div>
    <w:div w:id="1347095854">
      <w:bodyDiv w:val="1"/>
      <w:marLeft w:val="0"/>
      <w:marRight w:val="0"/>
      <w:marTop w:val="0"/>
      <w:marBottom w:val="0"/>
      <w:divBdr>
        <w:top w:val="none" w:sz="0" w:space="0" w:color="auto"/>
        <w:left w:val="none" w:sz="0" w:space="0" w:color="auto"/>
        <w:bottom w:val="none" w:sz="0" w:space="0" w:color="auto"/>
        <w:right w:val="none" w:sz="0" w:space="0" w:color="auto"/>
      </w:divBdr>
    </w:div>
    <w:div w:id="1491368045">
      <w:bodyDiv w:val="1"/>
      <w:marLeft w:val="0"/>
      <w:marRight w:val="0"/>
      <w:marTop w:val="0"/>
      <w:marBottom w:val="0"/>
      <w:divBdr>
        <w:top w:val="none" w:sz="0" w:space="0" w:color="auto"/>
        <w:left w:val="none" w:sz="0" w:space="0" w:color="auto"/>
        <w:bottom w:val="none" w:sz="0" w:space="0" w:color="auto"/>
        <w:right w:val="none" w:sz="0" w:space="0" w:color="auto"/>
      </w:divBdr>
    </w:div>
    <w:div w:id="1508011300">
      <w:bodyDiv w:val="1"/>
      <w:marLeft w:val="0"/>
      <w:marRight w:val="0"/>
      <w:marTop w:val="0"/>
      <w:marBottom w:val="0"/>
      <w:divBdr>
        <w:top w:val="none" w:sz="0" w:space="0" w:color="auto"/>
        <w:left w:val="none" w:sz="0" w:space="0" w:color="auto"/>
        <w:bottom w:val="none" w:sz="0" w:space="0" w:color="auto"/>
        <w:right w:val="none" w:sz="0" w:space="0" w:color="auto"/>
      </w:divBdr>
    </w:div>
    <w:div w:id="1522813546">
      <w:bodyDiv w:val="1"/>
      <w:marLeft w:val="0"/>
      <w:marRight w:val="0"/>
      <w:marTop w:val="0"/>
      <w:marBottom w:val="0"/>
      <w:divBdr>
        <w:top w:val="none" w:sz="0" w:space="0" w:color="auto"/>
        <w:left w:val="none" w:sz="0" w:space="0" w:color="auto"/>
        <w:bottom w:val="none" w:sz="0" w:space="0" w:color="auto"/>
        <w:right w:val="none" w:sz="0" w:space="0" w:color="auto"/>
      </w:divBdr>
    </w:div>
    <w:div w:id="1581983884">
      <w:bodyDiv w:val="1"/>
      <w:marLeft w:val="0"/>
      <w:marRight w:val="0"/>
      <w:marTop w:val="0"/>
      <w:marBottom w:val="0"/>
      <w:divBdr>
        <w:top w:val="none" w:sz="0" w:space="0" w:color="auto"/>
        <w:left w:val="none" w:sz="0" w:space="0" w:color="auto"/>
        <w:bottom w:val="none" w:sz="0" w:space="0" w:color="auto"/>
        <w:right w:val="none" w:sz="0" w:space="0" w:color="auto"/>
      </w:divBdr>
    </w:div>
    <w:div w:id="1620721461">
      <w:bodyDiv w:val="1"/>
      <w:marLeft w:val="0"/>
      <w:marRight w:val="0"/>
      <w:marTop w:val="0"/>
      <w:marBottom w:val="0"/>
      <w:divBdr>
        <w:top w:val="none" w:sz="0" w:space="0" w:color="auto"/>
        <w:left w:val="none" w:sz="0" w:space="0" w:color="auto"/>
        <w:bottom w:val="none" w:sz="0" w:space="0" w:color="auto"/>
        <w:right w:val="none" w:sz="0" w:space="0" w:color="auto"/>
      </w:divBdr>
    </w:div>
    <w:div w:id="1736587181">
      <w:bodyDiv w:val="1"/>
      <w:marLeft w:val="0"/>
      <w:marRight w:val="0"/>
      <w:marTop w:val="0"/>
      <w:marBottom w:val="0"/>
      <w:divBdr>
        <w:top w:val="none" w:sz="0" w:space="0" w:color="auto"/>
        <w:left w:val="none" w:sz="0" w:space="0" w:color="auto"/>
        <w:bottom w:val="none" w:sz="0" w:space="0" w:color="auto"/>
        <w:right w:val="none" w:sz="0" w:space="0" w:color="auto"/>
      </w:divBdr>
    </w:div>
    <w:div w:id="1917981031">
      <w:bodyDiv w:val="1"/>
      <w:marLeft w:val="0"/>
      <w:marRight w:val="0"/>
      <w:marTop w:val="0"/>
      <w:marBottom w:val="0"/>
      <w:divBdr>
        <w:top w:val="none" w:sz="0" w:space="0" w:color="auto"/>
        <w:left w:val="none" w:sz="0" w:space="0" w:color="auto"/>
        <w:bottom w:val="none" w:sz="0" w:space="0" w:color="auto"/>
        <w:right w:val="none" w:sz="0" w:space="0" w:color="auto"/>
      </w:divBdr>
    </w:div>
    <w:div w:id="19427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689</Words>
  <Characters>3793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bgerard1</dc:creator>
  <cp:keywords/>
  <dc:description/>
  <cp:lastModifiedBy>bgerard1</cp:lastModifiedBy>
  <cp:revision>8</cp:revision>
  <cp:lastPrinted>2020-06-24T09:01:00Z</cp:lastPrinted>
  <dcterms:created xsi:type="dcterms:W3CDTF">2021-02-16T11:09:00Z</dcterms:created>
  <dcterms:modified xsi:type="dcterms:W3CDTF">2021-02-24T13:11:00Z</dcterms:modified>
</cp:coreProperties>
</file>